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536"/>
        <w:gridCol w:w="4765"/>
      </w:tblGrid>
      <w:tr w:rsidR="007A6D14" w:rsidRPr="001D77C2" w:rsidTr="00EC190D">
        <w:trPr>
          <w:trHeight w:val="2626"/>
        </w:trPr>
        <w:tc>
          <w:tcPr>
            <w:tcW w:w="4536" w:type="dxa"/>
            <w:shd w:val="clear" w:color="auto" w:fill="auto"/>
          </w:tcPr>
          <w:p w:rsidR="007A6D14" w:rsidRPr="001D77C2" w:rsidRDefault="007A6D14" w:rsidP="00EC190D">
            <w:pPr>
              <w:ind w:left="284" w:right="31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77C2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422E8" wp14:editId="5F8BEB62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5080</wp:posOffset>
                      </wp:positionV>
                      <wp:extent cx="2345055" cy="1533525"/>
                      <wp:effectExtent l="0" t="0" r="17145" b="28575"/>
                      <wp:wrapNone/>
                      <wp:docPr id="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055" cy="15335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D14" w:rsidRPr="004D16CA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ЦИ</w:t>
                                  </w:r>
                                </w:p>
                                <w:p w:rsidR="007A6D14" w:rsidRPr="00CE4E26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7A6D14" w:rsidRPr="004D16CA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СОГЛАСОВАНО:</w:t>
                                  </w: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7A6D14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«____»____________20___г.</w:t>
                                  </w:r>
                                </w:p>
                                <w:p w:rsidR="007A6D14" w:rsidRPr="00CE4E26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7A6D14" w:rsidRPr="004D16CA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ЗАРЕГИСТРИРОВАНО</w:t>
                                  </w: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7A6D14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Регистрационный №______________ от </w:t>
                                  </w:r>
                                </w:p>
                                <w:p w:rsidR="007A6D14" w:rsidRDefault="007A6D14" w:rsidP="007A6D14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___________________ ____________________</w:t>
                                  </w:r>
                                </w:p>
                                <w:p w:rsidR="007A6D14" w:rsidRDefault="007A6D14" w:rsidP="007A6D14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22E8" id="Прямоугольник 15" o:spid="_x0000_s1026" style="position:absolute;left:0;text-align:left;margin-left:-.2pt;margin-top:.4pt;width:184.6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" fillcolor="white [3201]" strokecolor="black [3213]" strokeweight=".5pt">
                      <v:path arrowok="t"/>
                      <v:textbox inset="1mm,1mm,1mm,1mm">
                        <w:txbxContent>
                          <w:p w:rsidR="007A6D14" w:rsidRPr="004D16CA" w:rsidRDefault="007A6D14" w:rsidP="007A6D14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7A6D14" w:rsidRPr="00CE4E26" w:rsidRDefault="007A6D14" w:rsidP="007A6D14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A6D14" w:rsidRPr="004D16CA" w:rsidRDefault="007A6D14" w:rsidP="007A6D14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СОГЛАСОВАНО: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A6D14" w:rsidRDefault="007A6D14" w:rsidP="007A6D14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7A6D14" w:rsidRPr="00CE4E26" w:rsidRDefault="007A6D14" w:rsidP="007A6D14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A6D14" w:rsidRPr="004D16CA" w:rsidRDefault="007A6D14" w:rsidP="007A6D14">
                            <w:pPr>
                              <w:pStyle w:val="a5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6D14" w:rsidRDefault="007A6D14" w:rsidP="007A6D14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Регистрационный №______________ от </w:t>
                            </w:r>
                          </w:p>
                          <w:p w:rsidR="007A6D14" w:rsidRDefault="007A6D14" w:rsidP="007A6D14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____________________</w:t>
                            </w:r>
                          </w:p>
                          <w:p w:rsidR="007A6D14" w:rsidRDefault="007A6D14" w:rsidP="007A6D14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auto"/>
          </w:tcPr>
          <w:p w:rsidR="007A6D14" w:rsidRPr="001D77C2" w:rsidRDefault="007A6D14" w:rsidP="00EC190D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7A6D14" w:rsidRPr="001D77C2" w:rsidRDefault="007A6D14" w:rsidP="007A6D14">
      <w:pPr>
        <w:spacing w:after="160" w:line="259" w:lineRule="auto"/>
        <w:rPr>
          <w:rFonts w:ascii="PT Astra Serif" w:hAnsi="PT Astra Serif"/>
          <w:sz w:val="2"/>
        </w:rPr>
      </w:pPr>
    </w:p>
    <w:p w:rsidR="007A6D14" w:rsidRPr="001D77C2" w:rsidRDefault="007A6D14" w:rsidP="007A6D14">
      <w:pPr>
        <w:ind w:left="284"/>
        <w:rPr>
          <w:rFonts w:ascii="PT Astra Serif" w:hAnsi="PT Astra Serif"/>
          <w:b/>
          <w:sz w:val="24"/>
          <w:szCs w:val="24"/>
        </w:rPr>
      </w:pPr>
      <w:r w:rsidRPr="001D77C2">
        <w:rPr>
          <w:rFonts w:ascii="PT Astra Serif" w:hAnsi="PT Astra Serif"/>
          <w:b/>
          <w:sz w:val="24"/>
          <w:szCs w:val="24"/>
        </w:rPr>
        <w:t>ПРОЕКТ</w:t>
      </w:r>
    </w:p>
    <w:p w:rsidR="007A6D14" w:rsidRPr="001D77C2" w:rsidRDefault="007A6D14" w:rsidP="007A6D14">
      <w:pPr>
        <w:pStyle w:val="a4"/>
        <w:rPr>
          <w:rFonts w:ascii="PT Astra Serif" w:hAnsi="PT Astra Serif"/>
        </w:rPr>
      </w:pPr>
      <w:r w:rsidRPr="001D77C2">
        <w:rPr>
          <w:rFonts w:ascii="PT Astra Serif" w:hAnsi="PT Astra Serif"/>
        </w:rPr>
        <w:t>ТЕХНИЧЕСКОЕ ЗАДАНИЕ</w:t>
      </w:r>
    </w:p>
    <w:p w:rsidR="007A6D14" w:rsidRPr="001D77C2" w:rsidRDefault="007A6D14" w:rsidP="007A6D14">
      <w:pPr>
        <w:pStyle w:val="a4"/>
        <w:rPr>
          <w:rFonts w:ascii="PT Astra Serif" w:hAnsi="PT Astra Serif"/>
        </w:rPr>
      </w:pPr>
      <w:r w:rsidRPr="001D77C2">
        <w:rPr>
          <w:rFonts w:ascii="PT Astra Serif" w:hAnsi="PT Astra Serif"/>
        </w:rPr>
        <w:t>Субъекта малого и среднего предпринимательства Тульской области</w:t>
      </w: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592"/>
        <w:gridCol w:w="2830"/>
        <w:gridCol w:w="6212"/>
      </w:tblGrid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Содержание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6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1</w:t>
            </w:r>
          </w:p>
        </w:tc>
        <w:tc>
          <w:tcPr>
            <w:tcW w:w="9074" w:type="dxa"/>
            <w:gridSpan w:val="2"/>
          </w:tcPr>
          <w:p w:rsidR="007A6D14" w:rsidRPr="001D77C2" w:rsidRDefault="007A6D14" w:rsidP="00EC190D">
            <w:pPr>
              <w:pStyle w:val="a6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Описание услуг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1.1</w:t>
            </w:r>
          </w:p>
        </w:tc>
        <w:tc>
          <w:tcPr>
            <w:tcW w:w="28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Оказываемые услуги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A6D14" w:rsidRPr="001D77C2" w:rsidRDefault="007A6D14" w:rsidP="00EC190D">
            <w:pPr>
              <w:pStyle w:val="a4"/>
              <w:spacing w:line="216" w:lineRule="auto"/>
              <w:jc w:val="left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B333A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1.2</w:t>
            </w:r>
          </w:p>
        </w:tc>
        <w:tc>
          <w:tcPr>
            <w:tcW w:w="28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Цель оказания услуг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A6D14" w:rsidRPr="001D77C2" w:rsidRDefault="00570B58" w:rsidP="00166FAC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Разработка программы </w:t>
            </w:r>
            <w:r w:rsidRPr="005E4D4F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модернизации теплосети предприятия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путем проектирования б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лочно-модульн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котельн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, предназначенн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для</w:t>
            </w:r>
            <w:r w:rsidR="00166FA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технологических нужд и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нужд отопления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="00166FA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и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теплоснабжения 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производственного цеха молочной продукции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2</w:t>
            </w:r>
          </w:p>
        </w:tc>
        <w:tc>
          <w:tcPr>
            <w:tcW w:w="9074" w:type="dxa"/>
            <w:gridSpan w:val="2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Состав оказываемых услуг</w:t>
            </w:r>
          </w:p>
        </w:tc>
      </w:tr>
      <w:tr w:rsidR="007A6D14" w:rsidRPr="001D77C2" w:rsidTr="00EC190D">
        <w:tc>
          <w:tcPr>
            <w:tcW w:w="560" w:type="dxa"/>
            <w:shd w:val="clear" w:color="auto" w:fill="F2F2F2" w:themeFill="background1" w:themeFillShade="F2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2.1</w:t>
            </w:r>
          </w:p>
        </w:tc>
        <w:tc>
          <w:tcPr>
            <w:tcW w:w="9074" w:type="dxa"/>
            <w:gridSpan w:val="2"/>
            <w:shd w:val="clear" w:color="auto" w:fill="D9D9D9" w:themeFill="background1" w:themeFillShade="D9"/>
          </w:tcPr>
          <w:p w:rsidR="005E4D4F" w:rsidRPr="005E4D4F" w:rsidRDefault="005E4D4F" w:rsidP="00D373D6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Разработка программы </w:t>
            </w:r>
            <w:r w:rsidRPr="005E4D4F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модернизации теплосети предприятия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путем проектирования б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лочно-модульн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котельн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, предназначенн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ой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для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технологических нужд и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нужд отопления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и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теплоснабжения 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производственного цеха молочной продукции</w:t>
            </w:r>
          </w:p>
          <w:p w:rsidR="00570B58" w:rsidRPr="005E4D4F" w:rsidRDefault="00570B58" w:rsidP="005E4D4F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</w:pPr>
            <w:r w:rsidRPr="005E4D4F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  <w:t>Тепломеханические решения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Система теплоснабжения:</w:t>
            </w:r>
          </w:p>
          <w:p w:rsid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–</w:t>
            </w:r>
            <w:r w:rsidR="00166FA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2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-х трубная.</w:t>
            </w:r>
          </w:p>
          <w:p w:rsidR="00166FAC" w:rsidRPr="00570B58" w:rsidRDefault="00166FAC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паропровод и конденсатопровод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Температурный график системы теплоснабжения:</w:t>
            </w:r>
          </w:p>
          <w:p w:rsid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в зимний период 80/60°С;</w:t>
            </w:r>
          </w:p>
          <w:p w:rsidR="00166FAC" w:rsidRDefault="00166FAC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Системы пароснабжения:</w:t>
            </w:r>
          </w:p>
          <w:p w:rsidR="00166FAC" w:rsidRPr="00570B58" w:rsidRDefault="00166FAC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пар насыщенный Р=3 кгс/см2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Тепловые нагрузки:</w:t>
            </w:r>
          </w:p>
          <w:p w:rsid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На отопление и вентиляцию –</w:t>
            </w:r>
            <w:r w:rsidR="00166FA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0,1545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Гкал/ч (</w:t>
            </w:r>
            <w:r w:rsidR="00166FA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0,1792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МВт);</w:t>
            </w:r>
          </w:p>
          <w:p w:rsidR="00166FAC" w:rsidRPr="00570B58" w:rsidRDefault="00166FAC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На пароснабжение – 0,6 т/ч (0,348 Гкал/ч (0,405 МВт))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Характеристики давления: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Давление в системе теплоснабжения: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а) в подающем трубопроводе 5 кгс/см2 ±0,5 кгс/см2 (0,5 МПа);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б) в обратном трубопроводе 3 кгс/см2 ±0,5 кгс/см2 (0,3 МПа).</w:t>
            </w:r>
          </w:p>
          <w:p w:rsidR="00570B58" w:rsidRDefault="00570B58" w:rsidP="00064CF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Для приготовления </w:t>
            </w:r>
            <w:r w:rsid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пара предусмотреть установку котла парового </w:t>
            </w:r>
            <w:r w:rsidR="00064CF8">
              <w:rPr>
                <w:rFonts w:ascii="PT Astra Serif" w:hAnsi="PT Astra Serif" w:cs="Times New Roman"/>
                <w:b w:val="0"/>
                <w:i/>
                <w:sz w:val="22"/>
                <w:szCs w:val="24"/>
                <w:lang w:val="en-US"/>
              </w:rPr>
              <w:t>UPG</w:t>
            </w:r>
            <w:r w:rsidR="00064CF8" w:rsidRP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-600</w:t>
            </w:r>
            <w:r w:rsid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– 1 ед.</w:t>
            </w:r>
          </w:p>
          <w:p w:rsidR="00064CF8" w:rsidRPr="00064CF8" w:rsidRDefault="00064CF8" w:rsidP="00064CF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Для приготовления 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теплоносителя системы отопления и вентиляции предусмотреть у</w:t>
            </w:r>
            <w:r w:rsidRP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становку котл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ов </w:t>
            </w:r>
            <w:r w:rsidRP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GEFFEN MB 4.1-99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- 2 ед.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Для обеспечения компенсации расширений теплоносителя в тепловой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сети предусмотреть мембранный расширительный бак объемом 100</w:t>
            </w:r>
            <w:r w:rsidR="00064CF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л,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а также аварийный сброс воды при повышении давления.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Предусмотреть 1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рабочий насос + 1 резервный</w:t>
            </w:r>
            <w:r w:rsidR="008816C3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(на склад)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для каждой группы насосов </w:t>
            </w:r>
            <w:r w:rsidR="008816C3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.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Изоляцию трубопроводов выполнить согласно СП 61.13330.2012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«Тепловая изоляция оборудования и трубопроводов.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Актуализированная редакция СНиП 41-03-2003 (с изменениями №1)»,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в качестве изолирующего материала использовать теплоизоляционный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материал из вспененного каучука K-FLEX. Вспомогательное</w:t>
            </w:r>
          </w:p>
          <w:p w:rsidR="00570B58" w:rsidRDefault="00570B58" w:rsidP="00D373D6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оборудование котельной определить проектом.</w:t>
            </w:r>
          </w:p>
          <w:p w:rsidR="00570B58" w:rsidRPr="00D373D6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</w:pPr>
            <w:r w:rsidRPr="00D373D6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  <w:t>Система водоснабжения и водоотведения:</w:t>
            </w:r>
          </w:p>
          <w:p w:rsid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Минимальное/максимальное давление исходной воды на вводе в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котельную составляет 3,5/5,0 кгс/см2;</w:t>
            </w:r>
          </w:p>
          <w:p w:rsidR="00292BC2" w:rsidRDefault="00292BC2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установку ХВО для обеспечения подпитки тепловой сети и питания парового котла</w:t>
            </w:r>
            <w:r w:rsidRPr="00292BC2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;</w:t>
            </w:r>
          </w:p>
          <w:p w:rsidR="00292BC2" w:rsidRDefault="00292BC2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lastRenderedPageBreak/>
              <w:t>- предусмотреть установку охладителя возвратного конденсата, загрязненный возвратный конденсат после охлаждения сбросить в дренаж</w:t>
            </w:r>
            <w:r w:rsidRPr="00292BC2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;</w:t>
            </w:r>
          </w:p>
          <w:p w:rsidR="00292BC2" w:rsidRPr="00955153" w:rsidRDefault="00292BC2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- предусмотреть бак питательной воды не </w:t>
            </w:r>
            <w:r w:rsidR="00955153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менее </w:t>
            </w:r>
            <w:r w:rsidR="003E1F69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5</w:t>
            </w:r>
            <w:r w:rsidR="00955153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00 л</w:t>
            </w:r>
            <w:r w:rsidR="00955153" w:rsidRPr="00955153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;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установку насосного оборудования для подпитки и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заполнения тепловой сети;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отведение дренажных стоков с котлов, трубопроводов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и прочего оборудования.</w:t>
            </w:r>
          </w:p>
          <w:p w:rsidR="00570B58" w:rsidRPr="00D373D6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</w:pPr>
            <w:r w:rsidRPr="00D373D6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  <w:t xml:space="preserve">Система водоотведения 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Проектом предусмотреть отвод стоков из здания котельной. Сбросы от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предохранительных клапанов выполнить в дренажный приямок.</w:t>
            </w:r>
          </w:p>
          <w:p w:rsid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Дренажи от ХВО, и вспомогательного оборудования вывести в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дренажный приямок.</w:t>
            </w:r>
          </w:p>
          <w:p w:rsidR="00064CF8" w:rsidRPr="00570B58" w:rsidRDefault="00064CF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Дренаж от парового котла и паропроводов предусмотреть в охладительный колодец.</w:t>
            </w:r>
          </w:p>
          <w:p w:rsidR="00570B58" w:rsidRDefault="00570B58" w:rsidP="00D373D6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Точка подключения котельной к системе водоотведения согласно ТУ.</w:t>
            </w:r>
          </w:p>
          <w:p w:rsidR="00594B2E" w:rsidRPr="00D373D6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</w:pPr>
            <w:r w:rsidRPr="00D373D6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  <w:t>Система внутреннего Газоснабжения</w:t>
            </w:r>
          </w:p>
          <w:p w:rsidR="00594B2E" w:rsidRPr="00594B2E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Система ГСВ:</w:t>
            </w:r>
          </w:p>
          <w:p w:rsidR="00594B2E" w:rsidRPr="00594B2E" w:rsidRDefault="00594B2E" w:rsidP="003E1F69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установку на вводе газопровода отключающего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устройства, </w:t>
            </w:r>
            <w:proofErr w:type="spellStart"/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термозапорного</w:t>
            </w:r>
            <w:proofErr w:type="spellEnd"/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клапана, быстрозакрывающегося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электромагнитного клапана и фильтра;</w:t>
            </w:r>
          </w:p>
          <w:p w:rsidR="00594B2E" w:rsidRPr="00594B2E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установку автоматизированного газового горелочного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устройства для работы на природном газе;</w:t>
            </w:r>
          </w:p>
          <w:p w:rsidR="00594B2E" w:rsidRPr="00594B2E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- предусмотреть отключающее устройство на </w:t>
            </w:r>
            <w:proofErr w:type="spellStart"/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опуске</w:t>
            </w:r>
            <w:proofErr w:type="spellEnd"/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газопровода к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каждому котлу.</w:t>
            </w:r>
          </w:p>
          <w:p w:rsidR="00594B2E" w:rsidRPr="00594B2E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Давление газа на входе в котельную – 0,</w:t>
            </w:r>
            <w:r w:rsidR="003E1F69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0025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МПа.</w:t>
            </w:r>
          </w:p>
          <w:p w:rsidR="00594B2E" w:rsidRPr="00594B2E" w:rsidRDefault="00594B2E" w:rsidP="00594B2E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- предусмотреть установку ГР</w:t>
            </w:r>
            <w:r w:rsidR="003E1F69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ПШ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с двумя линиями редуцирования</w:t>
            </w:r>
            <w:r w:rsidR="003E1F69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на стене котельной</w:t>
            </w: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.</w:t>
            </w:r>
          </w:p>
          <w:p w:rsidR="00594B2E" w:rsidRDefault="00594B2E" w:rsidP="00D373D6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94B2E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Предусмотреть коммерческий узел учета газа.</w:t>
            </w:r>
          </w:p>
          <w:p w:rsidR="00570B58" w:rsidRPr="00D373D6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</w:pPr>
            <w:r w:rsidRPr="00D373D6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  <w:u w:val="single"/>
              </w:rPr>
              <w:t>Архитектурные решения</w:t>
            </w:r>
          </w:p>
          <w:p w:rsidR="00570B58" w:rsidRPr="00570B58" w:rsidRDefault="00570B58" w:rsidP="00570B58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Котельную выполнить в блочно-модульном исполнении.</w:t>
            </w:r>
          </w:p>
          <w:p w:rsidR="00570B58" w:rsidRPr="001D77C2" w:rsidRDefault="00570B58" w:rsidP="009140EE">
            <w:pPr>
              <w:pStyle w:val="a4"/>
              <w:spacing w:line="216" w:lineRule="auto"/>
              <w:ind w:left="141" w:hanging="106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Несущий металлический каркас из стального проката с</w:t>
            </w:r>
            <w:r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 </w:t>
            </w:r>
            <w:r w:rsidRPr="00570B5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ограждающими конструкциями из сэндвич-панелей.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9074" w:type="dxa"/>
            <w:gridSpan w:val="2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Требования к составу и оформлению отчетной документации по оказываемым услугам</w:t>
            </w:r>
          </w:p>
        </w:tc>
      </w:tr>
      <w:tr w:rsidR="007A6D14" w:rsidRPr="001D77C2" w:rsidTr="00EC190D">
        <w:tc>
          <w:tcPr>
            <w:tcW w:w="560" w:type="dxa"/>
            <w:vAlign w:val="center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3.1</w:t>
            </w:r>
          </w:p>
        </w:tc>
        <w:tc>
          <w:tcPr>
            <w:tcW w:w="28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A6D14" w:rsidRPr="005E4D4F" w:rsidRDefault="006A18D4" w:rsidP="005E4D4F">
            <w:pPr>
              <w:pStyle w:val="a4"/>
              <w:spacing w:line="216" w:lineRule="auto"/>
              <w:ind w:left="319" w:hanging="284"/>
              <w:jc w:val="both"/>
              <w:rPr>
                <w:rFonts w:ascii="PT Astra Serif" w:hAnsi="PT Astra Serif" w:cs="Times New Roman"/>
                <w:b w:val="0"/>
                <w:bCs/>
                <w:iCs/>
                <w:sz w:val="22"/>
                <w:szCs w:val="24"/>
              </w:rPr>
            </w:pPr>
            <w:r>
              <w:rPr>
                <w:rFonts w:ascii="PT Astra Serif" w:hAnsi="PT Astra Serif" w:cs="Times New Roman"/>
                <w:b w:val="0"/>
                <w:bCs/>
                <w:iCs/>
                <w:sz w:val="22"/>
                <w:szCs w:val="24"/>
              </w:rPr>
              <w:t>Проектная документация</w:t>
            </w:r>
          </w:p>
        </w:tc>
      </w:tr>
      <w:tr w:rsidR="007A6D14" w:rsidRPr="001D77C2" w:rsidTr="00EC190D">
        <w:tc>
          <w:tcPr>
            <w:tcW w:w="560" w:type="dxa"/>
            <w:vAlign w:val="center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3.2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Состав 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961FA" w:rsidRPr="009140EE" w:rsidRDefault="006A18D4" w:rsidP="00C961FA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bCs/>
                <w:iCs/>
                <w:sz w:val="22"/>
                <w:szCs w:val="24"/>
              </w:rPr>
            </w:pPr>
            <w:r w:rsidRPr="006A18D4">
              <w:rPr>
                <w:rFonts w:ascii="PT Astra Serif" w:hAnsi="PT Astra Serif" w:cs="Times New Roman"/>
                <w:b w:val="0"/>
                <w:bCs/>
                <w:iCs/>
                <w:sz w:val="22"/>
                <w:szCs w:val="24"/>
              </w:rPr>
              <w:t>Состав проектной документации</w:t>
            </w:r>
            <w:r w:rsidR="009140EE">
              <w:rPr>
                <w:rFonts w:ascii="PT Astra Serif" w:hAnsi="PT Astra Serif" w:cs="Times New Roman"/>
                <w:b w:val="0"/>
                <w:bCs/>
                <w:iCs/>
                <w:sz w:val="22"/>
                <w:szCs w:val="24"/>
              </w:rPr>
              <w:t>:</w:t>
            </w:r>
          </w:p>
          <w:p w:rsidR="006A18D4" w:rsidRDefault="006A18D4" w:rsidP="00C961FA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iCs/>
                <w:sz w:val="22"/>
                <w:szCs w:val="24"/>
              </w:rPr>
            </w:pPr>
            <w:r w:rsidRPr="006A18D4">
              <w:rPr>
                <w:rFonts w:ascii="PT Astra Serif" w:hAnsi="PT Astra Serif" w:cs="Times New Roman"/>
                <w:b w:val="0"/>
                <w:iCs/>
                <w:sz w:val="22"/>
                <w:szCs w:val="24"/>
              </w:rPr>
              <w:t>Раз</w:t>
            </w:r>
            <w:r>
              <w:rPr>
                <w:rFonts w:ascii="PT Astra Serif" w:hAnsi="PT Astra Serif" w:cs="Times New Roman"/>
                <w:b w:val="0"/>
                <w:iCs/>
                <w:sz w:val="22"/>
                <w:szCs w:val="24"/>
              </w:rPr>
              <w:t>дел Пояснительная записка (ПЗ)</w:t>
            </w:r>
          </w:p>
          <w:p w:rsidR="006A18D4" w:rsidRPr="006A18D4" w:rsidRDefault="006A18D4" w:rsidP="00C961FA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iCs/>
                <w:sz w:val="22"/>
                <w:szCs w:val="24"/>
                <w:highlight w:val="magenta"/>
              </w:rPr>
            </w:pPr>
            <w:r w:rsidRPr="006A18D4">
              <w:rPr>
                <w:rFonts w:ascii="PT Astra Serif" w:hAnsi="PT Astra Serif" w:cs="Times New Roman"/>
                <w:b w:val="0"/>
                <w:iCs/>
                <w:sz w:val="22"/>
                <w:szCs w:val="24"/>
              </w:rPr>
              <w:t>Раздел Технологические решения (ТХ)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4</w:t>
            </w:r>
          </w:p>
        </w:tc>
        <w:tc>
          <w:tcPr>
            <w:tcW w:w="9074" w:type="dxa"/>
            <w:gridSpan w:val="2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Требования к оформлению и передаче отчетной документации по оказываемым услугам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4.1</w:t>
            </w:r>
          </w:p>
        </w:tc>
        <w:tc>
          <w:tcPr>
            <w:tcW w:w="28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Требования к оформлению 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40EE" w:rsidRPr="009140EE" w:rsidRDefault="009140EE" w:rsidP="009140EE">
            <w:pPr>
              <w:pStyle w:val="a4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>1. Градостроительный кодекс Российской Федерации.</w:t>
            </w:r>
          </w:p>
          <w:p w:rsidR="009140EE" w:rsidRPr="009140EE" w:rsidRDefault="009140EE" w:rsidP="009140EE">
            <w:pPr>
              <w:pStyle w:val="a4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>2. Постановление Правительства Российской Федерации от 01.01.2001г. №87 «О составе разделов проектной документации и требованиях к их содержанию».</w:t>
            </w:r>
          </w:p>
          <w:p w:rsidR="009140EE" w:rsidRPr="009140EE" w:rsidRDefault="009140EE" w:rsidP="009140EE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>3. Документация должна соответствовать техническим условиям, исходным данным, требованиям ФЗ, Постановлению Правительства РФ №1521, Приказу Росстандарта №365, СНиП, СП, ПУЭ, ГОСТ, требованиям Заказчика и нормативным актам Российской Федерации.</w:t>
            </w:r>
          </w:p>
          <w:p w:rsidR="009140EE" w:rsidRPr="009140EE" w:rsidRDefault="009140EE" w:rsidP="009140EE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>Проектные решения должны учитывать профиль объекта и соответствовать требованиям действующих норм и правил в том числе:</w:t>
            </w:r>
          </w:p>
          <w:p w:rsidR="009140EE" w:rsidRPr="009140EE" w:rsidRDefault="009140EE" w:rsidP="009140EE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 xml:space="preserve">-  Федеральный закон "Технический регламент о безопасности зданий и сооружений" № 384-ФЗ; </w:t>
            </w:r>
          </w:p>
          <w:p w:rsidR="009140EE" w:rsidRPr="009140EE" w:rsidRDefault="009140EE" w:rsidP="009140EE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 xml:space="preserve">- Федеральный закон "Технический регламент о требованиях пожарной безопасности" № 123-ФЗ; </w:t>
            </w:r>
          </w:p>
          <w:p w:rsidR="009140EE" w:rsidRPr="009140EE" w:rsidRDefault="009140EE" w:rsidP="009140EE">
            <w:pPr>
              <w:pStyle w:val="a4"/>
              <w:jc w:val="left"/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/>
                <w:b w:val="0"/>
                <w:bCs/>
                <w:i/>
                <w:sz w:val="22"/>
                <w:szCs w:val="24"/>
              </w:rPr>
              <w:t>4. Иная нормативная документация.</w:t>
            </w:r>
          </w:p>
          <w:p w:rsidR="009140EE" w:rsidRPr="009140EE" w:rsidRDefault="009140EE" w:rsidP="009140EE">
            <w:pPr>
              <w:pStyle w:val="a4"/>
              <w:spacing w:line="216" w:lineRule="auto"/>
              <w:jc w:val="left"/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</w:rPr>
            </w:pPr>
            <w:r w:rsidRPr="009140EE">
              <w:rPr>
                <w:rFonts w:ascii="PT Astra Serif" w:hAnsi="PT Astra Serif" w:cs="Times New Roman"/>
                <w:b w:val="0"/>
                <w:bCs/>
                <w:i/>
                <w:sz w:val="22"/>
                <w:szCs w:val="24"/>
              </w:rPr>
              <w:t>Все необходимые согласования осуществляет Подрядчик.</w:t>
            </w:r>
          </w:p>
        </w:tc>
      </w:tr>
      <w:tr w:rsidR="007A6D14" w:rsidRPr="001D77C2" w:rsidTr="00EC190D">
        <w:tc>
          <w:tcPr>
            <w:tcW w:w="560" w:type="dxa"/>
          </w:tcPr>
          <w:p w:rsidR="007A6D14" w:rsidRPr="001D77C2" w:rsidRDefault="007A6D14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4.2</w:t>
            </w:r>
          </w:p>
        </w:tc>
        <w:tc>
          <w:tcPr>
            <w:tcW w:w="28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Количество передаваемых экземпляров отчетной документации по оказываемым услугам</w:t>
            </w:r>
          </w:p>
        </w:tc>
        <w:tc>
          <w:tcPr>
            <w:tcW w:w="6237" w:type="dxa"/>
          </w:tcPr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 xml:space="preserve">В бумажном варианте: </w:t>
            </w:r>
          </w:p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 xml:space="preserve">- в 2 (двух) экземплярах: один – для Заказчика, </w:t>
            </w:r>
          </w:p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один – для Фонда.</w:t>
            </w:r>
          </w:p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В электронном виде:</w:t>
            </w:r>
          </w:p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 xml:space="preserve">- в 2 (двух) экземплярах: один – для Заказчика, </w:t>
            </w:r>
          </w:p>
          <w:p w:rsidR="007A6D14" w:rsidRPr="001D77C2" w:rsidRDefault="007A6D14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один – для Фонда (при необходимости).</w:t>
            </w:r>
          </w:p>
        </w:tc>
      </w:tr>
    </w:tbl>
    <w:p w:rsidR="007A6D14" w:rsidRDefault="007A6D14" w:rsidP="007A6D14">
      <w:pPr>
        <w:spacing w:after="160" w:line="259" w:lineRule="auto"/>
        <w:rPr>
          <w:rFonts w:ascii="PT Astra Serif" w:hAnsi="PT Astra Serif"/>
          <w:b/>
          <w:sz w:val="6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1624"/>
        <w:gridCol w:w="2268"/>
        <w:gridCol w:w="2835"/>
      </w:tblGrid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1D77C2">
              <w:rPr>
                <w:rFonts w:ascii="PT Astra Serif" w:hAnsi="PT Astra Serif"/>
                <w:b/>
                <w:sz w:val="24"/>
              </w:rPr>
              <w:t>Утверждено</w:t>
            </w: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7A6D14" w:rsidRPr="001D77C2" w:rsidTr="00EC190D">
        <w:tc>
          <w:tcPr>
            <w:tcW w:w="2912" w:type="dxa"/>
            <w:shd w:val="clear" w:color="auto" w:fill="auto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b/>
                <w:sz w:val="22"/>
                <w:vertAlign w:val="superscript"/>
              </w:rPr>
            </w:pPr>
            <w:r w:rsidRPr="001D77C2">
              <w:rPr>
                <w:rFonts w:ascii="PT Astra Serif" w:hAnsi="PT Astra Serif"/>
                <w:sz w:val="22"/>
                <w:vertAlign w:val="superscript"/>
              </w:rPr>
              <w:t>Сокращенное наименование Заявителя</w:t>
            </w:r>
          </w:p>
        </w:tc>
      </w:tr>
      <w:tr w:rsidR="007A6D14" w:rsidRPr="001D77C2" w:rsidTr="00EC190D">
        <w:tc>
          <w:tcPr>
            <w:tcW w:w="2912" w:type="dxa"/>
            <w:shd w:val="clear" w:color="auto" w:fill="auto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  <w:vertAlign w:val="superscript"/>
              </w:rPr>
            </w:pPr>
            <w:r w:rsidRPr="001D77C2">
              <w:rPr>
                <w:rFonts w:ascii="PT Astra Serif" w:hAnsi="PT Astra Serif"/>
                <w:sz w:val="22"/>
                <w:vertAlign w:val="superscript"/>
              </w:rPr>
              <w:t>Должность</w:t>
            </w: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  <w:r w:rsidRPr="001D77C2">
              <w:rPr>
                <w:rFonts w:ascii="PT Astra Serif" w:hAnsi="PT Astra Serif"/>
                <w:sz w:val="22"/>
              </w:rPr>
              <w:t>ФИО</w:t>
            </w: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A6D14" w:rsidRPr="001D77C2" w:rsidRDefault="007A6D14" w:rsidP="00EC190D">
            <w:pPr>
              <w:jc w:val="center"/>
              <w:rPr>
                <w:rFonts w:ascii="PT Astra Serif" w:hAnsi="PT Astra Serif"/>
                <w:sz w:val="22"/>
                <w:vertAlign w:val="superscript"/>
              </w:rPr>
            </w:pPr>
            <w:r w:rsidRPr="001D77C2">
              <w:rPr>
                <w:rFonts w:ascii="PT Astra Serif" w:hAnsi="PT Astra Serif"/>
                <w:sz w:val="22"/>
                <w:vertAlign w:val="superscript"/>
              </w:rPr>
              <w:t>Подпись</w:t>
            </w:r>
          </w:p>
        </w:tc>
      </w:tr>
      <w:tr w:rsidR="007A6D14" w:rsidRPr="001D77C2" w:rsidTr="00EC190D">
        <w:tc>
          <w:tcPr>
            <w:tcW w:w="2912" w:type="dxa"/>
          </w:tcPr>
          <w:p w:rsidR="007A6D14" w:rsidRPr="001D77C2" w:rsidRDefault="007A6D14" w:rsidP="00EC190D">
            <w:pPr>
              <w:jc w:val="right"/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jc w:val="right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</w:tcPr>
          <w:p w:rsidR="007A6D14" w:rsidRPr="001D77C2" w:rsidRDefault="007A6D14" w:rsidP="00EC190D">
            <w:pPr>
              <w:jc w:val="right"/>
              <w:rPr>
                <w:rFonts w:ascii="PT Astra Serif" w:hAnsi="PT Astra Serif"/>
                <w:sz w:val="22"/>
                <w:vertAlign w:val="superscript"/>
              </w:rPr>
            </w:pPr>
            <w:r w:rsidRPr="001D77C2">
              <w:rPr>
                <w:rFonts w:ascii="PT Astra Serif" w:hAnsi="PT Astra Serif"/>
                <w:sz w:val="22"/>
                <w:vertAlign w:val="superscript"/>
              </w:rPr>
              <w:t>М.П.</w:t>
            </w:r>
          </w:p>
        </w:tc>
        <w:tc>
          <w:tcPr>
            <w:tcW w:w="2835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  <w:vertAlign w:val="superscript"/>
              </w:rPr>
            </w:pPr>
          </w:p>
        </w:tc>
      </w:tr>
      <w:tr w:rsidR="007A6D14" w:rsidRPr="001D77C2" w:rsidTr="00EC190D">
        <w:trPr>
          <w:trHeight w:val="295"/>
        </w:trPr>
        <w:tc>
          <w:tcPr>
            <w:tcW w:w="2912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1624" w:type="dxa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5103" w:type="dxa"/>
            <w:gridSpan w:val="2"/>
          </w:tcPr>
          <w:p w:rsidR="007A6D14" w:rsidRPr="001D77C2" w:rsidRDefault="007A6D14" w:rsidP="00EC190D">
            <w:pPr>
              <w:rPr>
                <w:rFonts w:ascii="PT Astra Serif" w:hAnsi="PT Astra Serif"/>
                <w:sz w:val="22"/>
              </w:rPr>
            </w:pPr>
            <w:r w:rsidRPr="001D77C2">
              <w:rPr>
                <w:rFonts w:ascii="PT Astra Serif" w:hAnsi="PT Astra Serif"/>
                <w:sz w:val="22"/>
              </w:rPr>
              <w:t>Дата  ____  ___________  2023 г.</w:t>
            </w:r>
          </w:p>
        </w:tc>
      </w:tr>
    </w:tbl>
    <w:p w:rsidR="00FC6FA7" w:rsidRPr="007A6D14" w:rsidRDefault="00FC6FA7" w:rsidP="007A6D14">
      <w:pPr>
        <w:spacing w:after="160" w:line="259" w:lineRule="auto"/>
        <w:rPr>
          <w:rFonts w:ascii="PT Astra Serif" w:eastAsiaTheme="minorHAnsi" w:hAnsi="PT Astra Serif"/>
          <w:b/>
          <w:sz w:val="12"/>
          <w:szCs w:val="28"/>
          <w:lang w:eastAsia="en-US"/>
        </w:rPr>
      </w:pPr>
    </w:p>
    <w:sectPr w:rsidR="00FC6FA7" w:rsidRPr="007A6D14" w:rsidSect="00915E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5B"/>
    <w:rsid w:val="00064CF8"/>
    <w:rsid w:val="00166FAC"/>
    <w:rsid w:val="00280BFC"/>
    <w:rsid w:val="00292BC2"/>
    <w:rsid w:val="003444C8"/>
    <w:rsid w:val="003E1F69"/>
    <w:rsid w:val="00570B58"/>
    <w:rsid w:val="00594B2E"/>
    <w:rsid w:val="005E4D4F"/>
    <w:rsid w:val="006162F9"/>
    <w:rsid w:val="006A18D4"/>
    <w:rsid w:val="007A6D14"/>
    <w:rsid w:val="007F545B"/>
    <w:rsid w:val="008816C3"/>
    <w:rsid w:val="009140EE"/>
    <w:rsid w:val="00915E55"/>
    <w:rsid w:val="009352F7"/>
    <w:rsid w:val="00940C85"/>
    <w:rsid w:val="00955153"/>
    <w:rsid w:val="00C961FA"/>
    <w:rsid w:val="00D373D6"/>
    <w:rsid w:val="00EA2B24"/>
    <w:rsid w:val="00ED47F4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C932"/>
  <w15:chartTrackingRefBased/>
  <w15:docId w15:val="{AE5303BC-5981-4CF4-8A06-A4FE239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15E55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15E5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91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915E55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a5">
    <w:name w:val="Содержимое врезки"/>
    <w:basedOn w:val="a"/>
    <w:qFormat/>
    <w:rsid w:val="00915E5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_ТЗ_Заглавие в таблице"/>
    <w:basedOn w:val="a"/>
    <w:qFormat/>
    <w:rsid w:val="00915E55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table" w:customStyle="1" w:styleId="5">
    <w:name w:val="Сетка таблицы5"/>
    <w:basedOn w:val="a1"/>
    <w:next w:val="a3"/>
    <w:uiPriority w:val="59"/>
    <w:rsid w:val="0091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Максим Кудрявцев</cp:lastModifiedBy>
  <cp:revision>18</cp:revision>
  <dcterms:created xsi:type="dcterms:W3CDTF">2023-05-03T12:52:00Z</dcterms:created>
  <dcterms:modified xsi:type="dcterms:W3CDTF">2023-12-22T15:24:00Z</dcterms:modified>
</cp:coreProperties>
</file>