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40DEA" w14:textId="77777777" w:rsidR="00EA5F87" w:rsidRPr="001B068F" w:rsidRDefault="00EA5F87" w:rsidP="00EA5F87">
      <w:pPr>
        <w:jc w:val="center"/>
        <w:rPr>
          <w:b/>
          <w:bCs/>
          <w:sz w:val="24"/>
          <w:szCs w:val="24"/>
        </w:rPr>
      </w:pPr>
      <w:r w:rsidRPr="001B068F">
        <w:rPr>
          <w:b/>
          <w:bCs/>
          <w:sz w:val="24"/>
          <w:szCs w:val="24"/>
        </w:rPr>
        <w:t>Извещение о начале приема заявок на участие в отборе партнеров Тульского регионального фонда «Центр поддержки предпринимательства» по предоставлению комплексных услуг для социальных субъектов малого и среднего предпринимательства Тульской области (направление «Центр инноваций социальной сферы»)</w:t>
      </w:r>
    </w:p>
    <w:p w14:paraId="5196BF6B" w14:textId="77777777" w:rsidR="00EA5F87" w:rsidRPr="001B068F" w:rsidRDefault="00EA5F87" w:rsidP="00EA5F87">
      <w:pPr>
        <w:jc w:val="center"/>
        <w:rPr>
          <w:sz w:val="24"/>
          <w:szCs w:val="24"/>
        </w:rPr>
      </w:pPr>
    </w:p>
    <w:p w14:paraId="1F3A5DEA" w14:textId="77777777" w:rsidR="00EA5F87" w:rsidRPr="001B068F" w:rsidRDefault="00EA5F87" w:rsidP="00EA5F87">
      <w:pPr>
        <w:ind w:firstLine="709"/>
        <w:jc w:val="both"/>
        <w:rPr>
          <w:sz w:val="24"/>
          <w:szCs w:val="24"/>
        </w:rPr>
      </w:pPr>
      <w:r w:rsidRPr="001B068F">
        <w:rPr>
          <w:sz w:val="24"/>
          <w:szCs w:val="24"/>
        </w:rPr>
        <w:t>Тульский региональный фонд «Центр поддержки предпринимательства» уведомляет о начале приема заявок на участие в отборе партнеров Тульского регионального фонда «Центр поддержки предпринимательства» по предоставлению комплексных услуг для социальных субъектов малого и среднего предпринимательства Тульской области (направление «Центр инноваций социальной сферы») (далее – отбор партнеров).</w:t>
      </w:r>
    </w:p>
    <w:p w14:paraId="1D319F05" w14:textId="77777777" w:rsidR="00EA5F87" w:rsidRPr="001B068F" w:rsidRDefault="00EA5F87" w:rsidP="00EA5F87">
      <w:pPr>
        <w:ind w:firstLine="709"/>
        <w:jc w:val="both"/>
        <w:rPr>
          <w:sz w:val="24"/>
          <w:szCs w:val="24"/>
        </w:rPr>
      </w:pPr>
      <w:r w:rsidRPr="001B068F">
        <w:rPr>
          <w:sz w:val="24"/>
          <w:szCs w:val="24"/>
        </w:rPr>
        <w:t>1. Отбор партнеров проводится в отношении следующих видов услуг:</w:t>
      </w:r>
    </w:p>
    <w:tbl>
      <w:tblPr>
        <w:tblW w:w="473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32"/>
        <w:gridCol w:w="6591"/>
        <w:gridCol w:w="1629"/>
      </w:tblGrid>
      <w:tr w:rsidR="00EA5F87" w:rsidRPr="0064432A" w14:paraId="00D5199C" w14:textId="77777777" w:rsidTr="000113AC">
        <w:trPr>
          <w:jc w:val="center"/>
        </w:trPr>
        <w:tc>
          <w:tcPr>
            <w:tcW w:w="357" w:type="pct"/>
            <w:vAlign w:val="center"/>
          </w:tcPr>
          <w:p w14:paraId="7E74E598" w14:textId="77777777" w:rsidR="00EA5F87" w:rsidRPr="00410312" w:rsidRDefault="00EA5F87" w:rsidP="000113AC">
            <w:pPr>
              <w:jc w:val="center"/>
              <w:rPr>
                <w:sz w:val="24"/>
                <w:szCs w:val="24"/>
              </w:rPr>
            </w:pPr>
            <w:r w:rsidRPr="00410312">
              <w:rPr>
                <w:sz w:val="24"/>
                <w:szCs w:val="24"/>
              </w:rPr>
              <w:t>№ п/п</w:t>
            </w:r>
          </w:p>
        </w:tc>
        <w:tc>
          <w:tcPr>
            <w:tcW w:w="3723" w:type="pct"/>
            <w:vAlign w:val="center"/>
          </w:tcPr>
          <w:p w14:paraId="6598FB1E" w14:textId="77777777" w:rsidR="00EA5F87" w:rsidRPr="00410312" w:rsidRDefault="00EA5F87" w:rsidP="000113AC">
            <w:pPr>
              <w:jc w:val="center"/>
              <w:rPr>
                <w:sz w:val="24"/>
                <w:szCs w:val="24"/>
              </w:rPr>
            </w:pPr>
            <w:r w:rsidRPr="00410312">
              <w:rPr>
                <w:sz w:val="24"/>
                <w:szCs w:val="24"/>
              </w:rPr>
              <w:t>Наименование комплексной услуги</w:t>
            </w:r>
          </w:p>
        </w:tc>
        <w:tc>
          <w:tcPr>
            <w:tcW w:w="920" w:type="pct"/>
            <w:vAlign w:val="center"/>
          </w:tcPr>
          <w:p w14:paraId="38E69453" w14:textId="77777777" w:rsidR="00EA5F87" w:rsidRPr="00410312" w:rsidRDefault="00EA5F87" w:rsidP="000113AC">
            <w:pPr>
              <w:ind w:left="-132" w:right="-88"/>
              <w:jc w:val="center"/>
              <w:rPr>
                <w:sz w:val="24"/>
                <w:szCs w:val="24"/>
              </w:rPr>
            </w:pPr>
            <w:r w:rsidRPr="00410312">
              <w:rPr>
                <w:sz w:val="24"/>
                <w:szCs w:val="24"/>
              </w:rPr>
              <w:t xml:space="preserve">Минимальное количество </w:t>
            </w:r>
            <w:r w:rsidRPr="00410312">
              <w:rPr>
                <w:color w:val="000000" w:themeColor="text1"/>
                <w:sz w:val="28"/>
                <w:szCs w:val="28"/>
              </w:rPr>
              <w:t>социальных</w:t>
            </w:r>
            <w:r w:rsidRPr="00410312">
              <w:rPr>
                <w:sz w:val="24"/>
                <w:szCs w:val="24"/>
              </w:rPr>
              <w:t xml:space="preserve"> СМСП, которые получат поддержку</w:t>
            </w:r>
          </w:p>
        </w:tc>
      </w:tr>
      <w:tr w:rsidR="00EA5F87" w:rsidRPr="0064432A" w14:paraId="1AC18F86" w14:textId="77777777" w:rsidTr="000113AC">
        <w:trPr>
          <w:jc w:val="center"/>
        </w:trPr>
        <w:tc>
          <w:tcPr>
            <w:tcW w:w="357" w:type="pct"/>
            <w:vAlign w:val="center"/>
          </w:tcPr>
          <w:p w14:paraId="0A4426E7" w14:textId="77777777" w:rsidR="00EA5F87" w:rsidRPr="00043878" w:rsidRDefault="00EA5F87" w:rsidP="000113AC">
            <w:pPr>
              <w:jc w:val="center"/>
              <w:rPr>
                <w:b/>
                <w:sz w:val="24"/>
                <w:szCs w:val="24"/>
              </w:rPr>
            </w:pPr>
            <w:r w:rsidRPr="0004387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723" w:type="pct"/>
            <w:vAlign w:val="center"/>
          </w:tcPr>
          <w:p w14:paraId="73952C5B" w14:textId="77777777" w:rsidR="00EA5F87" w:rsidRPr="00043878" w:rsidRDefault="00EA5F87" w:rsidP="000113AC">
            <w:pPr>
              <w:rPr>
                <w:b/>
                <w:sz w:val="24"/>
                <w:szCs w:val="24"/>
              </w:rPr>
            </w:pPr>
            <w:r w:rsidRPr="00043878">
              <w:rPr>
                <w:b/>
                <w:sz w:val="24"/>
                <w:szCs w:val="24"/>
              </w:rPr>
              <w:t>Контекстная реклама</w:t>
            </w:r>
          </w:p>
        </w:tc>
        <w:tc>
          <w:tcPr>
            <w:tcW w:w="920" w:type="pct"/>
            <w:vAlign w:val="center"/>
          </w:tcPr>
          <w:p w14:paraId="3CD38C7E" w14:textId="77777777" w:rsidR="00EA5F87" w:rsidRPr="00043878" w:rsidRDefault="00EA5F87" w:rsidP="000113AC">
            <w:pPr>
              <w:jc w:val="center"/>
              <w:rPr>
                <w:b/>
                <w:sz w:val="24"/>
                <w:szCs w:val="24"/>
              </w:rPr>
            </w:pPr>
            <w:r w:rsidRPr="00043878">
              <w:rPr>
                <w:b/>
                <w:sz w:val="24"/>
                <w:szCs w:val="24"/>
              </w:rPr>
              <w:t>10</w:t>
            </w:r>
          </w:p>
        </w:tc>
      </w:tr>
      <w:tr w:rsidR="00EA5F87" w:rsidRPr="0064432A" w14:paraId="0AA66507" w14:textId="77777777" w:rsidTr="000113AC">
        <w:trPr>
          <w:jc w:val="center"/>
        </w:trPr>
        <w:tc>
          <w:tcPr>
            <w:tcW w:w="357" w:type="pct"/>
            <w:vAlign w:val="center"/>
          </w:tcPr>
          <w:p w14:paraId="0EABC1AD" w14:textId="77777777" w:rsidR="00EA5F87" w:rsidRPr="00043878" w:rsidRDefault="00EA5F87" w:rsidP="000113AC">
            <w:pPr>
              <w:jc w:val="center"/>
              <w:rPr>
                <w:sz w:val="24"/>
                <w:szCs w:val="24"/>
              </w:rPr>
            </w:pPr>
            <w:r w:rsidRPr="00043878">
              <w:rPr>
                <w:sz w:val="24"/>
                <w:szCs w:val="24"/>
              </w:rPr>
              <w:t>1.1</w:t>
            </w:r>
          </w:p>
        </w:tc>
        <w:tc>
          <w:tcPr>
            <w:tcW w:w="3723" w:type="pct"/>
            <w:vAlign w:val="center"/>
          </w:tcPr>
          <w:p w14:paraId="6E31D3F3" w14:textId="77777777" w:rsidR="00EA5F87" w:rsidRPr="00043878" w:rsidRDefault="00EA5F87" w:rsidP="000113AC">
            <w:pPr>
              <w:rPr>
                <w:sz w:val="24"/>
                <w:szCs w:val="24"/>
              </w:rPr>
            </w:pPr>
            <w:r w:rsidRPr="00043878">
              <w:rPr>
                <w:sz w:val="24"/>
                <w:szCs w:val="24"/>
              </w:rPr>
              <w:t>Настройка и ведение контекстных рекламных компаний</w:t>
            </w:r>
          </w:p>
        </w:tc>
        <w:tc>
          <w:tcPr>
            <w:tcW w:w="920" w:type="pct"/>
            <w:vAlign w:val="center"/>
          </w:tcPr>
          <w:p w14:paraId="089D03C5" w14:textId="77777777" w:rsidR="00EA5F87" w:rsidRPr="00043878" w:rsidRDefault="00EA5F87" w:rsidP="000113AC">
            <w:pPr>
              <w:jc w:val="center"/>
              <w:rPr>
                <w:sz w:val="24"/>
                <w:szCs w:val="24"/>
              </w:rPr>
            </w:pPr>
            <w:r w:rsidRPr="00043878">
              <w:rPr>
                <w:sz w:val="24"/>
                <w:szCs w:val="24"/>
              </w:rPr>
              <w:t>-</w:t>
            </w:r>
          </w:p>
        </w:tc>
      </w:tr>
      <w:tr w:rsidR="00EA5F87" w:rsidRPr="0064432A" w14:paraId="0B1BA400" w14:textId="77777777" w:rsidTr="000113AC">
        <w:trPr>
          <w:jc w:val="center"/>
        </w:trPr>
        <w:tc>
          <w:tcPr>
            <w:tcW w:w="357" w:type="pct"/>
            <w:vAlign w:val="center"/>
          </w:tcPr>
          <w:p w14:paraId="2C7E6375" w14:textId="77777777" w:rsidR="00EA5F87" w:rsidRPr="00043878" w:rsidRDefault="00EA5F87" w:rsidP="000113AC">
            <w:pPr>
              <w:jc w:val="center"/>
              <w:rPr>
                <w:sz w:val="24"/>
                <w:szCs w:val="24"/>
              </w:rPr>
            </w:pPr>
            <w:r w:rsidRPr="00043878">
              <w:rPr>
                <w:sz w:val="24"/>
                <w:szCs w:val="24"/>
              </w:rPr>
              <w:t>1.2</w:t>
            </w:r>
          </w:p>
        </w:tc>
        <w:tc>
          <w:tcPr>
            <w:tcW w:w="3723" w:type="pct"/>
            <w:vAlign w:val="center"/>
          </w:tcPr>
          <w:p w14:paraId="07BA55E6" w14:textId="77777777" w:rsidR="00EA5F87" w:rsidRPr="00043878" w:rsidRDefault="00EA5F87" w:rsidP="000113AC">
            <w:pPr>
              <w:rPr>
                <w:sz w:val="24"/>
                <w:szCs w:val="24"/>
              </w:rPr>
            </w:pPr>
            <w:r w:rsidRPr="00043878">
              <w:rPr>
                <w:sz w:val="24"/>
                <w:szCs w:val="24"/>
              </w:rPr>
              <w:t>Запуск рекламных кампаний</w:t>
            </w:r>
          </w:p>
        </w:tc>
        <w:tc>
          <w:tcPr>
            <w:tcW w:w="920" w:type="pct"/>
            <w:vAlign w:val="center"/>
          </w:tcPr>
          <w:p w14:paraId="127E1C98" w14:textId="77777777" w:rsidR="00EA5F87" w:rsidRPr="00043878" w:rsidRDefault="00EA5F87" w:rsidP="000113AC">
            <w:pPr>
              <w:jc w:val="center"/>
              <w:rPr>
                <w:sz w:val="24"/>
                <w:szCs w:val="24"/>
              </w:rPr>
            </w:pPr>
            <w:r w:rsidRPr="00043878">
              <w:rPr>
                <w:sz w:val="24"/>
                <w:szCs w:val="24"/>
              </w:rPr>
              <w:t>-</w:t>
            </w:r>
          </w:p>
        </w:tc>
      </w:tr>
      <w:tr w:rsidR="00EA5F87" w:rsidRPr="0064432A" w14:paraId="429ABABC" w14:textId="77777777" w:rsidTr="000113AC">
        <w:trPr>
          <w:jc w:val="center"/>
        </w:trPr>
        <w:tc>
          <w:tcPr>
            <w:tcW w:w="357" w:type="pct"/>
            <w:vAlign w:val="center"/>
          </w:tcPr>
          <w:p w14:paraId="3E6F50FE" w14:textId="77777777" w:rsidR="00EA5F87" w:rsidRPr="00043878" w:rsidRDefault="00EA5F87" w:rsidP="000113AC">
            <w:pPr>
              <w:jc w:val="center"/>
              <w:rPr>
                <w:b/>
                <w:sz w:val="24"/>
                <w:szCs w:val="24"/>
              </w:rPr>
            </w:pPr>
            <w:r w:rsidRPr="0004387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723" w:type="pct"/>
            <w:vAlign w:val="center"/>
          </w:tcPr>
          <w:p w14:paraId="4F82F491" w14:textId="77777777" w:rsidR="00EA5F87" w:rsidRPr="00043878" w:rsidRDefault="00EA5F87" w:rsidP="000113AC">
            <w:pPr>
              <w:rPr>
                <w:b/>
                <w:sz w:val="24"/>
                <w:szCs w:val="24"/>
              </w:rPr>
            </w:pPr>
            <w:r w:rsidRPr="00043878">
              <w:rPr>
                <w:b/>
                <w:sz w:val="24"/>
                <w:szCs w:val="24"/>
              </w:rPr>
              <w:t>Изготовление и размещение билборда</w:t>
            </w:r>
          </w:p>
        </w:tc>
        <w:tc>
          <w:tcPr>
            <w:tcW w:w="920" w:type="pct"/>
            <w:vAlign w:val="center"/>
          </w:tcPr>
          <w:p w14:paraId="6DED45C6" w14:textId="77777777" w:rsidR="00EA5F87" w:rsidRPr="00043878" w:rsidRDefault="00EA5F87" w:rsidP="000113AC">
            <w:pPr>
              <w:jc w:val="center"/>
              <w:rPr>
                <w:b/>
                <w:sz w:val="24"/>
                <w:szCs w:val="24"/>
              </w:rPr>
            </w:pPr>
            <w:r w:rsidRPr="00043878">
              <w:rPr>
                <w:b/>
                <w:sz w:val="24"/>
                <w:szCs w:val="24"/>
              </w:rPr>
              <w:t>10</w:t>
            </w:r>
          </w:p>
        </w:tc>
      </w:tr>
      <w:tr w:rsidR="00EA5F87" w:rsidRPr="0064432A" w14:paraId="5732C9D9" w14:textId="77777777" w:rsidTr="000113AC">
        <w:trPr>
          <w:jc w:val="center"/>
        </w:trPr>
        <w:tc>
          <w:tcPr>
            <w:tcW w:w="357" w:type="pct"/>
            <w:vAlign w:val="center"/>
          </w:tcPr>
          <w:p w14:paraId="44FA973D" w14:textId="77777777" w:rsidR="00EA5F87" w:rsidRPr="00043878" w:rsidRDefault="00EA5F87" w:rsidP="000113AC">
            <w:pPr>
              <w:jc w:val="center"/>
              <w:rPr>
                <w:sz w:val="24"/>
                <w:szCs w:val="24"/>
              </w:rPr>
            </w:pPr>
            <w:r w:rsidRPr="00043878">
              <w:rPr>
                <w:sz w:val="24"/>
                <w:szCs w:val="24"/>
              </w:rPr>
              <w:t>2.1.</w:t>
            </w:r>
          </w:p>
        </w:tc>
        <w:tc>
          <w:tcPr>
            <w:tcW w:w="3723" w:type="pct"/>
            <w:vAlign w:val="center"/>
          </w:tcPr>
          <w:p w14:paraId="5C88C9F0" w14:textId="77777777" w:rsidR="00EA5F87" w:rsidRPr="00043878" w:rsidRDefault="00EA5F87" w:rsidP="000113AC">
            <w:pPr>
              <w:rPr>
                <w:sz w:val="24"/>
                <w:szCs w:val="24"/>
              </w:rPr>
            </w:pPr>
            <w:r w:rsidRPr="00043878">
              <w:rPr>
                <w:sz w:val="24"/>
                <w:szCs w:val="24"/>
              </w:rPr>
              <w:t>Изготовление билборда</w:t>
            </w:r>
          </w:p>
        </w:tc>
        <w:tc>
          <w:tcPr>
            <w:tcW w:w="920" w:type="pct"/>
            <w:vAlign w:val="center"/>
          </w:tcPr>
          <w:p w14:paraId="06B7E0AC" w14:textId="77777777" w:rsidR="00EA5F87" w:rsidRPr="00043878" w:rsidRDefault="00EA5F87" w:rsidP="000113AC">
            <w:pPr>
              <w:jc w:val="center"/>
              <w:rPr>
                <w:sz w:val="24"/>
                <w:szCs w:val="24"/>
              </w:rPr>
            </w:pPr>
            <w:r w:rsidRPr="00043878">
              <w:rPr>
                <w:sz w:val="24"/>
                <w:szCs w:val="24"/>
              </w:rPr>
              <w:t>-</w:t>
            </w:r>
          </w:p>
        </w:tc>
      </w:tr>
      <w:tr w:rsidR="00EA5F87" w:rsidRPr="0064432A" w14:paraId="7F355A32" w14:textId="77777777" w:rsidTr="000113AC">
        <w:trPr>
          <w:jc w:val="center"/>
        </w:trPr>
        <w:tc>
          <w:tcPr>
            <w:tcW w:w="357" w:type="pct"/>
            <w:vAlign w:val="center"/>
          </w:tcPr>
          <w:p w14:paraId="52767FD8" w14:textId="77777777" w:rsidR="00EA5F87" w:rsidRPr="00043878" w:rsidRDefault="00EA5F87" w:rsidP="000113AC">
            <w:pPr>
              <w:jc w:val="center"/>
              <w:rPr>
                <w:sz w:val="24"/>
                <w:szCs w:val="24"/>
              </w:rPr>
            </w:pPr>
            <w:r w:rsidRPr="00043878">
              <w:rPr>
                <w:sz w:val="24"/>
                <w:szCs w:val="24"/>
              </w:rPr>
              <w:t>2.2.</w:t>
            </w:r>
          </w:p>
        </w:tc>
        <w:tc>
          <w:tcPr>
            <w:tcW w:w="3723" w:type="pct"/>
            <w:vAlign w:val="center"/>
          </w:tcPr>
          <w:p w14:paraId="27135E88" w14:textId="77777777" w:rsidR="00EA5F87" w:rsidRPr="00043878" w:rsidRDefault="00EA5F87" w:rsidP="000113AC">
            <w:pPr>
              <w:rPr>
                <w:sz w:val="24"/>
                <w:szCs w:val="24"/>
              </w:rPr>
            </w:pPr>
            <w:r w:rsidRPr="00043878">
              <w:rPr>
                <w:sz w:val="24"/>
                <w:szCs w:val="24"/>
              </w:rPr>
              <w:t>Размещение билборда</w:t>
            </w:r>
          </w:p>
        </w:tc>
        <w:tc>
          <w:tcPr>
            <w:tcW w:w="920" w:type="pct"/>
            <w:vAlign w:val="center"/>
          </w:tcPr>
          <w:p w14:paraId="2D1E51D0" w14:textId="77777777" w:rsidR="00EA5F87" w:rsidRPr="00043878" w:rsidRDefault="00EA5F87" w:rsidP="000113AC">
            <w:pPr>
              <w:jc w:val="center"/>
              <w:rPr>
                <w:sz w:val="24"/>
                <w:szCs w:val="24"/>
              </w:rPr>
            </w:pPr>
            <w:r w:rsidRPr="00043878">
              <w:rPr>
                <w:sz w:val="24"/>
                <w:szCs w:val="24"/>
              </w:rPr>
              <w:t>-</w:t>
            </w:r>
          </w:p>
        </w:tc>
      </w:tr>
      <w:tr w:rsidR="00EA5F87" w:rsidRPr="0064432A" w14:paraId="35B4D37E" w14:textId="77777777" w:rsidTr="000113AC">
        <w:trPr>
          <w:jc w:val="center"/>
        </w:trPr>
        <w:tc>
          <w:tcPr>
            <w:tcW w:w="357" w:type="pct"/>
            <w:vAlign w:val="center"/>
          </w:tcPr>
          <w:p w14:paraId="3CD234DD" w14:textId="77777777" w:rsidR="00EA5F87" w:rsidRPr="00043878" w:rsidRDefault="00EA5F87" w:rsidP="000113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04387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723" w:type="pct"/>
            <w:vAlign w:val="center"/>
          </w:tcPr>
          <w:p w14:paraId="6742D022" w14:textId="77777777" w:rsidR="00EA5F87" w:rsidRPr="00043878" w:rsidRDefault="00EA5F87" w:rsidP="000113AC">
            <w:pPr>
              <w:rPr>
                <w:b/>
                <w:sz w:val="24"/>
                <w:szCs w:val="24"/>
              </w:rPr>
            </w:pPr>
            <w:r w:rsidRPr="00043878">
              <w:rPr>
                <w:b/>
                <w:sz w:val="24"/>
                <w:szCs w:val="24"/>
              </w:rPr>
              <w:t>Изготовление полиграфической продукции</w:t>
            </w:r>
          </w:p>
        </w:tc>
        <w:tc>
          <w:tcPr>
            <w:tcW w:w="920" w:type="pct"/>
            <w:vAlign w:val="center"/>
          </w:tcPr>
          <w:p w14:paraId="09379DFE" w14:textId="77777777" w:rsidR="00EA5F87" w:rsidRPr="00043878" w:rsidRDefault="00EA5F87" w:rsidP="000113AC">
            <w:pPr>
              <w:jc w:val="center"/>
              <w:rPr>
                <w:b/>
                <w:sz w:val="24"/>
                <w:szCs w:val="24"/>
              </w:rPr>
            </w:pPr>
            <w:r w:rsidRPr="00043878">
              <w:rPr>
                <w:b/>
                <w:sz w:val="24"/>
                <w:szCs w:val="24"/>
              </w:rPr>
              <w:t>20</w:t>
            </w:r>
          </w:p>
        </w:tc>
      </w:tr>
      <w:tr w:rsidR="00EA5F87" w:rsidRPr="0064432A" w14:paraId="03DF4E88" w14:textId="77777777" w:rsidTr="000113AC">
        <w:trPr>
          <w:jc w:val="center"/>
        </w:trPr>
        <w:tc>
          <w:tcPr>
            <w:tcW w:w="357" w:type="pct"/>
            <w:vAlign w:val="center"/>
          </w:tcPr>
          <w:p w14:paraId="752267C8" w14:textId="77777777" w:rsidR="00EA5F87" w:rsidRPr="00043878" w:rsidRDefault="00EA5F87" w:rsidP="000113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043878">
              <w:rPr>
                <w:sz w:val="24"/>
                <w:szCs w:val="24"/>
              </w:rPr>
              <w:t>.1.</w:t>
            </w:r>
          </w:p>
        </w:tc>
        <w:tc>
          <w:tcPr>
            <w:tcW w:w="3723" w:type="pct"/>
            <w:vAlign w:val="center"/>
          </w:tcPr>
          <w:p w14:paraId="43F449C9" w14:textId="77777777" w:rsidR="00EA5F87" w:rsidRPr="00043878" w:rsidRDefault="00EA5F87" w:rsidP="000113AC">
            <w:pPr>
              <w:rPr>
                <w:sz w:val="24"/>
                <w:szCs w:val="24"/>
              </w:rPr>
            </w:pPr>
            <w:r w:rsidRPr="00043878">
              <w:rPr>
                <w:sz w:val="24"/>
                <w:szCs w:val="24"/>
              </w:rPr>
              <w:t xml:space="preserve">Дизайн </w:t>
            </w:r>
          </w:p>
        </w:tc>
        <w:tc>
          <w:tcPr>
            <w:tcW w:w="920" w:type="pct"/>
            <w:vAlign w:val="center"/>
          </w:tcPr>
          <w:p w14:paraId="0DBF6DAD" w14:textId="77777777" w:rsidR="00EA5F87" w:rsidRPr="00043878" w:rsidRDefault="00EA5F87" w:rsidP="000113AC">
            <w:pPr>
              <w:jc w:val="center"/>
              <w:rPr>
                <w:sz w:val="24"/>
                <w:szCs w:val="24"/>
              </w:rPr>
            </w:pPr>
            <w:r w:rsidRPr="00043878">
              <w:rPr>
                <w:sz w:val="24"/>
                <w:szCs w:val="24"/>
              </w:rPr>
              <w:t>-</w:t>
            </w:r>
          </w:p>
        </w:tc>
      </w:tr>
      <w:tr w:rsidR="00EA5F87" w:rsidRPr="0064432A" w14:paraId="095095F7" w14:textId="77777777" w:rsidTr="000113AC">
        <w:trPr>
          <w:jc w:val="center"/>
        </w:trPr>
        <w:tc>
          <w:tcPr>
            <w:tcW w:w="357" w:type="pct"/>
            <w:vAlign w:val="center"/>
          </w:tcPr>
          <w:p w14:paraId="28D4723A" w14:textId="77777777" w:rsidR="00EA5F87" w:rsidRPr="00043878" w:rsidRDefault="00EA5F87" w:rsidP="000113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043878">
              <w:rPr>
                <w:sz w:val="24"/>
                <w:szCs w:val="24"/>
              </w:rPr>
              <w:t>.2.</w:t>
            </w:r>
          </w:p>
        </w:tc>
        <w:tc>
          <w:tcPr>
            <w:tcW w:w="3723" w:type="pct"/>
            <w:vAlign w:val="center"/>
          </w:tcPr>
          <w:p w14:paraId="792EE519" w14:textId="77777777" w:rsidR="00EA5F87" w:rsidRPr="00043878" w:rsidRDefault="00EA5F87" w:rsidP="000113AC">
            <w:pPr>
              <w:rPr>
                <w:sz w:val="24"/>
                <w:szCs w:val="24"/>
              </w:rPr>
            </w:pPr>
            <w:r w:rsidRPr="00043878">
              <w:rPr>
                <w:sz w:val="24"/>
                <w:szCs w:val="24"/>
              </w:rPr>
              <w:t xml:space="preserve">Изготовление </w:t>
            </w:r>
          </w:p>
        </w:tc>
        <w:tc>
          <w:tcPr>
            <w:tcW w:w="920" w:type="pct"/>
            <w:vAlign w:val="center"/>
          </w:tcPr>
          <w:p w14:paraId="1717DB9B" w14:textId="77777777" w:rsidR="00EA5F87" w:rsidRPr="00043878" w:rsidRDefault="00EA5F87" w:rsidP="000113AC">
            <w:pPr>
              <w:jc w:val="center"/>
              <w:rPr>
                <w:sz w:val="24"/>
                <w:szCs w:val="24"/>
              </w:rPr>
            </w:pPr>
            <w:r w:rsidRPr="00043878">
              <w:rPr>
                <w:sz w:val="24"/>
                <w:szCs w:val="24"/>
              </w:rPr>
              <w:t>-</w:t>
            </w:r>
          </w:p>
        </w:tc>
      </w:tr>
      <w:tr w:rsidR="00EA5F87" w:rsidRPr="0064432A" w14:paraId="25FC99A7" w14:textId="77777777" w:rsidTr="000113AC">
        <w:trPr>
          <w:jc w:val="center"/>
        </w:trPr>
        <w:tc>
          <w:tcPr>
            <w:tcW w:w="357" w:type="pct"/>
            <w:vAlign w:val="center"/>
          </w:tcPr>
          <w:p w14:paraId="7395D13C" w14:textId="77777777" w:rsidR="00EA5F87" w:rsidRPr="00043878" w:rsidRDefault="00EA5F87" w:rsidP="000113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23" w:type="pct"/>
            <w:vAlign w:val="center"/>
          </w:tcPr>
          <w:p w14:paraId="5588E6F4" w14:textId="77777777" w:rsidR="00EA5F87" w:rsidRPr="00043878" w:rsidRDefault="00EA5F87" w:rsidP="000113AC">
            <w:pPr>
              <w:jc w:val="center"/>
              <w:rPr>
                <w:b/>
                <w:sz w:val="24"/>
                <w:szCs w:val="24"/>
              </w:rPr>
            </w:pPr>
            <w:r w:rsidRPr="00043878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20" w:type="pct"/>
            <w:vAlign w:val="center"/>
          </w:tcPr>
          <w:p w14:paraId="0010F7BC" w14:textId="77777777" w:rsidR="00EA5F87" w:rsidRPr="00043878" w:rsidRDefault="00EA5F87" w:rsidP="000113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043878">
              <w:rPr>
                <w:b/>
                <w:sz w:val="24"/>
                <w:szCs w:val="24"/>
              </w:rPr>
              <w:t>0</w:t>
            </w:r>
          </w:p>
        </w:tc>
      </w:tr>
    </w:tbl>
    <w:p w14:paraId="16CB66E4" w14:textId="77777777" w:rsidR="00EA5F87" w:rsidRDefault="00EA5F87" w:rsidP="00EA5F87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sz w:val="24"/>
          <w:szCs w:val="24"/>
        </w:rPr>
      </w:pPr>
    </w:p>
    <w:p w14:paraId="1F11F9A7" w14:textId="0908199E" w:rsidR="00EA5F87" w:rsidRPr="0064432A" w:rsidRDefault="00EA5F87" w:rsidP="00EA5F87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sz w:val="24"/>
          <w:szCs w:val="24"/>
        </w:rPr>
      </w:pPr>
      <w:r w:rsidRPr="0064432A">
        <w:rPr>
          <w:sz w:val="24"/>
          <w:szCs w:val="24"/>
        </w:rPr>
        <w:t>2. Срок подачи Заявки:</w:t>
      </w:r>
    </w:p>
    <w:p w14:paraId="0FA32E79" w14:textId="5F8B23CA" w:rsidR="00EA5F87" w:rsidRPr="0064432A" w:rsidRDefault="00EA5F87" w:rsidP="00EA5F87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sz w:val="24"/>
          <w:szCs w:val="24"/>
        </w:rPr>
      </w:pPr>
      <w:r w:rsidRPr="0064432A">
        <w:rPr>
          <w:sz w:val="24"/>
          <w:szCs w:val="24"/>
        </w:rPr>
        <w:t xml:space="preserve">Дата начала приема Заявок: </w:t>
      </w:r>
      <w:r>
        <w:rPr>
          <w:sz w:val="24"/>
          <w:szCs w:val="24"/>
        </w:rPr>
        <w:t>9.00 часов 21 июня 2023г</w:t>
      </w:r>
    </w:p>
    <w:p w14:paraId="023A9148" w14:textId="4941E7D5" w:rsidR="00EA5F87" w:rsidRPr="0064432A" w:rsidRDefault="00EA5F87" w:rsidP="00EA5F87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sz w:val="24"/>
          <w:szCs w:val="24"/>
        </w:rPr>
      </w:pPr>
      <w:r w:rsidRPr="0064432A">
        <w:rPr>
          <w:sz w:val="24"/>
          <w:szCs w:val="24"/>
        </w:rPr>
        <w:t xml:space="preserve">Дата окончания приема Заявок: </w:t>
      </w:r>
      <w:r>
        <w:rPr>
          <w:sz w:val="24"/>
          <w:szCs w:val="24"/>
        </w:rPr>
        <w:t>18.00 27 июня 2023г</w:t>
      </w:r>
    </w:p>
    <w:p w14:paraId="2D1D39FA" w14:textId="34FB5FA3" w:rsidR="00EA5F87" w:rsidRPr="00EA5F87" w:rsidRDefault="00EA5F87" w:rsidP="00EA5F87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sz w:val="24"/>
          <w:szCs w:val="24"/>
        </w:rPr>
      </w:pPr>
      <w:r w:rsidRPr="0064432A">
        <w:rPr>
          <w:sz w:val="24"/>
          <w:szCs w:val="24"/>
        </w:rPr>
        <w:t>3. Требования к претендентам на партнерство</w:t>
      </w:r>
      <w:r w:rsidR="000660C2">
        <w:t>:</w:t>
      </w:r>
      <w:r w:rsidR="000660C2">
        <w:br/>
      </w:r>
      <w:r w:rsidRPr="00EA5F87">
        <w:rPr>
          <w:sz w:val="24"/>
          <w:szCs w:val="24"/>
        </w:rPr>
        <w:t>В Отборе партнеров могут принять участие юридические лица либо физические лица, зарегистрированные в качестве индивидуальных предпринимателей, осуществляющие профессиональную деятельность в конкретной области, направившее Заявку на участие в Отборе партнеров, соответствующие следующим требованиям на дату регистрации Заявки:</w:t>
      </w:r>
    </w:p>
    <w:p w14:paraId="5545FE77" w14:textId="77777777" w:rsidR="00EA5F87" w:rsidRPr="00EA5F87" w:rsidRDefault="00EA5F87" w:rsidP="00EA5F87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sz w:val="24"/>
          <w:szCs w:val="24"/>
        </w:rPr>
      </w:pPr>
      <w:r w:rsidRPr="00EA5F87">
        <w:rPr>
          <w:sz w:val="24"/>
          <w:szCs w:val="24"/>
        </w:rPr>
        <w:t>1) зарегистрирован в качестве юридического лица или индивидуального предпринимателя;</w:t>
      </w:r>
    </w:p>
    <w:p w14:paraId="7940027A" w14:textId="77777777" w:rsidR="00EA5F87" w:rsidRPr="00EA5F87" w:rsidRDefault="00EA5F87" w:rsidP="00EA5F87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sz w:val="24"/>
          <w:szCs w:val="24"/>
        </w:rPr>
      </w:pPr>
      <w:r w:rsidRPr="00EA5F87">
        <w:rPr>
          <w:sz w:val="24"/>
          <w:szCs w:val="24"/>
        </w:rPr>
        <w:t>2) юридическое лицо не находится в стадии ликвидации или реорганизации (за исключением реорганизации в форме присоединения к юридическому лицу, являющемуся участником отбора, другого юридического лица), в отношении него не введена ни одна из процедур, применяемая в деле о банкротстве, его деятельность не приостановлена в порядке, предусмотренном законодательством Российской Федерации; индивидуальный предприниматель не прекратил деятельность в качестве индивидуального предпринимателя;</w:t>
      </w:r>
    </w:p>
    <w:p w14:paraId="27AC0E10" w14:textId="77777777" w:rsidR="00EA5F87" w:rsidRPr="00EA5F87" w:rsidRDefault="00EA5F87" w:rsidP="00EA5F87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sz w:val="24"/>
          <w:szCs w:val="24"/>
        </w:rPr>
      </w:pPr>
      <w:r w:rsidRPr="00EA5F87">
        <w:rPr>
          <w:sz w:val="24"/>
          <w:szCs w:val="24"/>
        </w:rPr>
        <w:t xml:space="preserve">3) не находится в реестре недобросовестных поставщиков (подрядчиков, исполнителей) и реестра недобросовестных подрядных организаций, ведение которых предусмотрено Федеральным законом от 18.07.2011 № 223-ФЗ «О закупках товаров, работ, услуг отдельными видами юридических лиц» и Федеральным законом от </w:t>
      </w:r>
      <w:r w:rsidRPr="00EA5F87">
        <w:rPr>
          <w:sz w:val="24"/>
          <w:szCs w:val="24"/>
        </w:rPr>
        <w:lastRenderedPageBreak/>
        <w:t>05.04.2013 № 44-ФЗ «О контрактной системе в сфере закупок товаров, работ, услуг для обеспечения государственных и муниципальных нужд»;</w:t>
      </w:r>
    </w:p>
    <w:p w14:paraId="0EA44C83" w14:textId="77777777" w:rsidR="00EA5F87" w:rsidRPr="00EA5F87" w:rsidRDefault="00EA5F87" w:rsidP="00EA5F87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sz w:val="24"/>
          <w:szCs w:val="24"/>
        </w:rPr>
      </w:pPr>
      <w:r w:rsidRPr="00EA5F87">
        <w:rPr>
          <w:sz w:val="24"/>
          <w:szCs w:val="24"/>
        </w:rPr>
        <w:t>4) наличие опыта оказания идентичных планируемым к приобретению или при их отсутствии однородных услуг, подтверждающего возможность Исполнителя взять на себя обязанность по оказанию услуг;</w:t>
      </w:r>
    </w:p>
    <w:p w14:paraId="5018091E" w14:textId="77777777" w:rsidR="00EA5F87" w:rsidRPr="00EA5F87" w:rsidRDefault="00EA5F87" w:rsidP="00EA5F87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sz w:val="24"/>
          <w:szCs w:val="24"/>
        </w:rPr>
      </w:pPr>
      <w:r w:rsidRPr="00EA5F87">
        <w:rPr>
          <w:sz w:val="24"/>
          <w:szCs w:val="24"/>
        </w:rPr>
        <w:t>5) не является иностранными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4522A156" w14:textId="77777777" w:rsidR="00EA5F87" w:rsidRPr="000660C2" w:rsidRDefault="00EA5F87" w:rsidP="00EA5F87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sz w:val="24"/>
          <w:szCs w:val="24"/>
        </w:rPr>
      </w:pPr>
      <w:r w:rsidRPr="00EA5F87">
        <w:rPr>
          <w:sz w:val="24"/>
          <w:szCs w:val="24"/>
        </w:rPr>
        <w:t xml:space="preserve">6) отсутствует (погашена) задолженность по исполнительному производству, </w:t>
      </w:r>
      <w:r w:rsidRPr="000660C2">
        <w:rPr>
          <w:sz w:val="24"/>
          <w:szCs w:val="24"/>
        </w:rPr>
        <w:t>возбужденному на основании решения суда о взыскании налогов и сборов, о непогашенной кредитной задолженности, о неисполненных договорах поставки, подряда/субподряда, либо ее размер не превышает 50 000 (Пятьдесят тысяч) рублей 00 копеек;</w:t>
      </w:r>
    </w:p>
    <w:p w14:paraId="5C94271F" w14:textId="77777777" w:rsidR="00EA5F87" w:rsidRPr="000660C2" w:rsidRDefault="00EA5F87" w:rsidP="00EA5F87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sz w:val="24"/>
          <w:szCs w:val="24"/>
        </w:rPr>
      </w:pPr>
      <w:r w:rsidRPr="000660C2">
        <w:rPr>
          <w:sz w:val="24"/>
          <w:szCs w:val="24"/>
        </w:rPr>
        <w:t>7) виды деятельности Претендента на партнерство, внесенные в ЕГРЮЛ или ЕГРИП, соответствуют предмету Отбора партнеров;</w:t>
      </w:r>
    </w:p>
    <w:p w14:paraId="3AADCA05" w14:textId="77777777" w:rsidR="00EA5F87" w:rsidRPr="000660C2" w:rsidRDefault="00EA5F87" w:rsidP="00EA5F87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sz w:val="24"/>
          <w:szCs w:val="24"/>
        </w:rPr>
      </w:pPr>
      <w:r w:rsidRPr="000660C2">
        <w:rPr>
          <w:sz w:val="24"/>
          <w:szCs w:val="24"/>
        </w:rPr>
        <w:t>8) срок деятельности Претендента на партнерство с момента регистрации юридического лица или индивидуального предпринимателя не менее 12 (двенадцати) месяцев на момент подачи Заявки на участие в партнерстве;</w:t>
      </w:r>
    </w:p>
    <w:p w14:paraId="382C0206" w14:textId="77777777" w:rsidR="00EA5F87" w:rsidRPr="000660C2" w:rsidRDefault="00EA5F87" w:rsidP="00EA5F87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sz w:val="24"/>
          <w:szCs w:val="24"/>
        </w:rPr>
      </w:pPr>
      <w:r w:rsidRPr="000660C2">
        <w:rPr>
          <w:sz w:val="24"/>
          <w:szCs w:val="24"/>
        </w:rPr>
        <w:t>9) В отношении Претендента на партнерство в адрес Фонда не поступало письменных жалоб в течение предшествующих 12 месяцев.</w:t>
      </w:r>
    </w:p>
    <w:p w14:paraId="1B023D81" w14:textId="0B5682B7" w:rsidR="00EA5F87" w:rsidRPr="000660C2" w:rsidRDefault="00EA5F87" w:rsidP="00EA5F87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sz w:val="24"/>
          <w:szCs w:val="24"/>
        </w:rPr>
      </w:pPr>
      <w:r w:rsidRPr="000660C2">
        <w:rPr>
          <w:sz w:val="24"/>
          <w:szCs w:val="24"/>
        </w:rPr>
        <w:t>4. Заявка на участие в отборе партнеров может быть подана на бумажном носителе либо в виде отсканированного документа (электронного образа).</w:t>
      </w:r>
    </w:p>
    <w:p w14:paraId="3FFE3396" w14:textId="4C7737F8" w:rsidR="00EA5F87" w:rsidRPr="000660C2" w:rsidRDefault="00EA5F87" w:rsidP="00EA5F87">
      <w:pPr>
        <w:pStyle w:val="a3"/>
        <w:tabs>
          <w:tab w:val="left" w:pos="-3261"/>
          <w:tab w:val="left" w:pos="1134"/>
        </w:tabs>
        <w:ind w:left="0" w:firstLine="709"/>
        <w:jc w:val="both"/>
        <w:rPr>
          <w:sz w:val="24"/>
          <w:szCs w:val="24"/>
        </w:rPr>
      </w:pPr>
      <w:r w:rsidRPr="000660C2">
        <w:rPr>
          <w:sz w:val="24"/>
          <w:szCs w:val="24"/>
        </w:rPr>
        <w:t xml:space="preserve">1) К Заявке, </w:t>
      </w:r>
      <w:r w:rsidRPr="000660C2">
        <w:rPr>
          <w:rFonts w:eastAsia="Arial"/>
          <w:sz w:val="24"/>
          <w:szCs w:val="24"/>
        </w:rPr>
        <w:t>подаваемой на бумажном носителе</w:t>
      </w:r>
      <w:r w:rsidRPr="000660C2">
        <w:rPr>
          <w:sz w:val="24"/>
          <w:szCs w:val="24"/>
        </w:rPr>
        <w:t>, должны быть приложены следующие документы:</w:t>
      </w:r>
    </w:p>
    <w:p w14:paraId="0043375D" w14:textId="77777777" w:rsidR="000660C2" w:rsidRPr="000660C2" w:rsidRDefault="000660C2" w:rsidP="000660C2">
      <w:pPr>
        <w:pStyle w:val="a3"/>
        <w:ind w:left="0" w:firstLine="720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0660C2">
        <w:rPr>
          <w:rFonts w:eastAsiaTheme="minorHAnsi"/>
          <w:color w:val="000000" w:themeColor="text1"/>
          <w:sz w:val="24"/>
          <w:szCs w:val="24"/>
          <w:lang w:eastAsia="en-US"/>
        </w:rPr>
        <w:t>- анкета Претендента на партнерство (Приложение № 3 к настоящему Порядку);</w:t>
      </w:r>
    </w:p>
    <w:p w14:paraId="2DAF9E0A" w14:textId="77777777" w:rsidR="000660C2" w:rsidRPr="000660C2" w:rsidRDefault="000660C2" w:rsidP="000660C2">
      <w:pPr>
        <w:pStyle w:val="a3"/>
        <w:ind w:left="0" w:firstLine="720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0660C2">
        <w:rPr>
          <w:rFonts w:eastAsiaTheme="minorHAnsi"/>
          <w:color w:val="000000" w:themeColor="text1"/>
          <w:sz w:val="24"/>
          <w:szCs w:val="24"/>
          <w:lang w:eastAsia="en-US"/>
        </w:rPr>
        <w:t>- копия документа (приказ, доверенность и др.), подтверждающего полномочия лица на подписание Заявки в случае, если Заявка подписана лицом, не имеющим право действовать без доверенности;</w:t>
      </w:r>
    </w:p>
    <w:p w14:paraId="454EA267" w14:textId="77777777" w:rsidR="000660C2" w:rsidRPr="000660C2" w:rsidRDefault="000660C2" w:rsidP="000660C2">
      <w:pPr>
        <w:pStyle w:val="a3"/>
        <w:ind w:left="0" w:firstLine="720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0660C2">
        <w:rPr>
          <w:rFonts w:eastAsiaTheme="minorHAnsi"/>
          <w:color w:val="000000" w:themeColor="text1"/>
          <w:sz w:val="24"/>
          <w:szCs w:val="24"/>
          <w:lang w:eastAsia="en-US"/>
        </w:rPr>
        <w:t>- копия документа (приказ, доверенность и др.), подтверждающего полномочия лица на заверение копий документов в случае, если копии заверены лицом, не имеющим право действовать без доверенности;</w:t>
      </w:r>
    </w:p>
    <w:p w14:paraId="74B91731" w14:textId="77777777" w:rsidR="000660C2" w:rsidRPr="000660C2" w:rsidRDefault="000660C2" w:rsidP="000660C2">
      <w:pPr>
        <w:pStyle w:val="a3"/>
        <w:ind w:left="0" w:firstLine="720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0660C2">
        <w:rPr>
          <w:rFonts w:eastAsiaTheme="minorHAnsi"/>
          <w:color w:val="000000" w:themeColor="text1"/>
          <w:sz w:val="24"/>
          <w:szCs w:val="24"/>
          <w:lang w:eastAsia="en-US"/>
        </w:rPr>
        <w:t>- обязательство об отказе в предоставлении услуг субъектам малого и среднего предпринимательства, состоящим с Претендентом на партнерство в одной группе лиц, определенной в статье 9 Федерального закон от 26.07.2006 № 135-ФЗ «О защите конкуренции» (Приложение № 4 к настоящему Порядку);</w:t>
      </w:r>
    </w:p>
    <w:p w14:paraId="7BBBA177" w14:textId="77777777" w:rsidR="000660C2" w:rsidRPr="00CC7998" w:rsidRDefault="000660C2" w:rsidP="000660C2">
      <w:pPr>
        <w:pStyle w:val="a3"/>
        <w:ind w:left="0" w:firstLine="720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0660C2">
        <w:rPr>
          <w:rFonts w:eastAsiaTheme="minorHAnsi"/>
          <w:color w:val="000000" w:themeColor="text1"/>
          <w:sz w:val="24"/>
          <w:szCs w:val="24"/>
          <w:lang w:eastAsia="en-US"/>
        </w:rPr>
        <w:t xml:space="preserve">- копии не менее 3 (трех) исполненных договоров оказания идентичных планируемым к приобретению или при их отсутствии однородных услуг и подписанных обеими сторонами актов к таким договорам, где Претендент на партнерство непосредственно выступает в роли исполнителя услуг. В копиях указанных документов не допускается скрывать информацию о предмете договора, наименование контрагента, его ИНН/ОГРН, </w:t>
      </w:r>
      <w:r w:rsidRPr="00CC7998">
        <w:rPr>
          <w:rFonts w:eastAsiaTheme="minorHAnsi"/>
          <w:color w:val="000000" w:themeColor="text1"/>
          <w:sz w:val="24"/>
          <w:szCs w:val="24"/>
          <w:lang w:eastAsia="en-US"/>
        </w:rPr>
        <w:t>подписи и печати сторон;</w:t>
      </w:r>
    </w:p>
    <w:p w14:paraId="682E5D5F" w14:textId="77777777" w:rsidR="000660C2" w:rsidRPr="00CC7998" w:rsidRDefault="000660C2" w:rsidP="000660C2">
      <w:pPr>
        <w:pStyle w:val="a3"/>
        <w:ind w:left="0" w:firstLine="720"/>
        <w:jc w:val="both"/>
        <w:rPr>
          <w:rFonts w:eastAsiaTheme="minorHAnsi"/>
          <w:sz w:val="24"/>
          <w:szCs w:val="24"/>
          <w:lang w:eastAsia="en-US"/>
        </w:rPr>
      </w:pPr>
      <w:r w:rsidRPr="00CC7998">
        <w:rPr>
          <w:rFonts w:eastAsiaTheme="minorHAnsi"/>
          <w:sz w:val="24"/>
          <w:szCs w:val="24"/>
          <w:lang w:eastAsia="en-US"/>
        </w:rPr>
        <w:t>- для Комплексной услуги №2 ЦИСС дополнительно предоставляется:</w:t>
      </w:r>
    </w:p>
    <w:p w14:paraId="55C0EB30" w14:textId="77777777" w:rsidR="000660C2" w:rsidRPr="00CC7998" w:rsidRDefault="000660C2" w:rsidP="000660C2">
      <w:pPr>
        <w:pStyle w:val="a3"/>
        <w:ind w:left="0" w:firstLine="720"/>
        <w:jc w:val="both"/>
        <w:rPr>
          <w:rFonts w:eastAsiaTheme="minorHAnsi"/>
          <w:sz w:val="24"/>
          <w:szCs w:val="24"/>
          <w:lang w:eastAsia="en-US"/>
        </w:rPr>
      </w:pPr>
      <w:r w:rsidRPr="00CC7998">
        <w:rPr>
          <w:rFonts w:eastAsiaTheme="minorHAnsi"/>
          <w:sz w:val="24"/>
          <w:szCs w:val="24"/>
          <w:lang w:eastAsia="en-US"/>
        </w:rPr>
        <w:t>- перечень адресов билбордов, на которых будет осуществляться размещение баннера СМСП;</w:t>
      </w:r>
    </w:p>
    <w:p w14:paraId="012DAF8A" w14:textId="650B7CEF" w:rsidR="000660C2" w:rsidRPr="00CC7998" w:rsidRDefault="000660C2" w:rsidP="000660C2">
      <w:pPr>
        <w:pStyle w:val="a3"/>
        <w:tabs>
          <w:tab w:val="left" w:pos="-3261"/>
          <w:tab w:val="left" w:pos="1134"/>
        </w:tabs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CC7998">
        <w:rPr>
          <w:rFonts w:eastAsiaTheme="minorHAnsi"/>
          <w:sz w:val="24"/>
          <w:szCs w:val="24"/>
          <w:lang w:eastAsia="en-US"/>
        </w:rPr>
        <w:t>- копию документа, подтверждающего право владения или пользования билбордами на срок не менее чем до «31» октября 2023 года (включительно) (договор купли-продажи, договор аренды и т.п.).</w:t>
      </w:r>
      <w:r w:rsidRPr="00CC7998">
        <w:rPr>
          <w:sz w:val="24"/>
          <w:szCs w:val="24"/>
        </w:rPr>
        <w:t xml:space="preserve"> </w:t>
      </w:r>
      <w:r w:rsidRPr="00CC7998">
        <w:rPr>
          <w:rFonts w:eastAsiaTheme="minorHAnsi"/>
          <w:sz w:val="24"/>
          <w:szCs w:val="24"/>
          <w:lang w:eastAsia="en-US"/>
        </w:rPr>
        <w:t xml:space="preserve">В копиях указанных документов не допускается скрывать </w:t>
      </w:r>
      <w:r w:rsidRPr="00CC7998">
        <w:rPr>
          <w:rFonts w:eastAsiaTheme="minorHAnsi"/>
          <w:sz w:val="24"/>
          <w:szCs w:val="24"/>
          <w:lang w:eastAsia="en-US"/>
        </w:rPr>
        <w:lastRenderedPageBreak/>
        <w:t>информацию о предмете договора, наименование контрагента, его контактные данные, ИНН/ОГРН, подписи и печати сторон.</w:t>
      </w:r>
    </w:p>
    <w:p w14:paraId="3C16F672" w14:textId="77777777" w:rsidR="000660C2" w:rsidRPr="00CC7998" w:rsidRDefault="000660C2" w:rsidP="000660C2">
      <w:pPr>
        <w:pStyle w:val="a3"/>
        <w:ind w:left="0" w:firstLine="720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CC7998">
        <w:rPr>
          <w:rFonts w:eastAsiaTheme="minorHAnsi"/>
          <w:sz w:val="24"/>
          <w:szCs w:val="24"/>
          <w:lang w:eastAsia="en-US"/>
        </w:rPr>
        <w:t xml:space="preserve">При подаче Заявки на бумажном носителе все копии приложенных к </w:t>
      </w:r>
      <w:r w:rsidRPr="00CC7998">
        <w:rPr>
          <w:rFonts w:eastAsiaTheme="minorHAnsi"/>
          <w:color w:val="000000" w:themeColor="text1"/>
          <w:sz w:val="24"/>
          <w:szCs w:val="24"/>
          <w:lang w:eastAsia="en-US"/>
        </w:rPr>
        <w:t xml:space="preserve">ней документов должны быть заверены надлежащим образом. Отметка о заверении копии должна включать: </w:t>
      </w:r>
      <w:proofErr w:type="spellStart"/>
      <w:r w:rsidRPr="00CC7998">
        <w:rPr>
          <w:rFonts w:eastAsiaTheme="minorHAnsi"/>
          <w:color w:val="000000" w:themeColor="text1"/>
          <w:sz w:val="24"/>
          <w:szCs w:val="24"/>
          <w:lang w:eastAsia="en-US"/>
        </w:rPr>
        <w:t>заверительную</w:t>
      </w:r>
      <w:proofErr w:type="spellEnd"/>
      <w:r w:rsidRPr="00CC7998">
        <w:rPr>
          <w:rFonts w:eastAsiaTheme="minorHAnsi"/>
          <w:color w:val="000000" w:themeColor="text1"/>
          <w:sz w:val="24"/>
          <w:szCs w:val="24"/>
          <w:lang w:eastAsia="en-US"/>
        </w:rPr>
        <w:t xml:space="preserve"> надпись, наименование должности лица, заверившего копию, его собственноручную подпись, расшифровку подписи (фамилию, инициалы), дату заверения копии, печать (при наличии). Если представляется копия многостраничного документа, то такая копия может быть прошита в единый сшив, на листах проставляется нумерация, на обороте сшив заверяется печатью (при наличии) и подписью руководителя (иного уполномоченного лица).</w:t>
      </w:r>
    </w:p>
    <w:p w14:paraId="57F95AAA" w14:textId="77777777" w:rsidR="000660C2" w:rsidRPr="00CC7998" w:rsidRDefault="000660C2" w:rsidP="000660C2">
      <w:pPr>
        <w:pStyle w:val="a3"/>
        <w:ind w:left="0" w:firstLine="720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CC7998">
        <w:rPr>
          <w:rFonts w:eastAsiaTheme="minorHAnsi"/>
          <w:color w:val="000000" w:themeColor="text1"/>
          <w:sz w:val="24"/>
          <w:szCs w:val="24"/>
          <w:lang w:eastAsia="en-US"/>
        </w:rPr>
        <w:t>Заявка и все приложенные к ней документы должны быть прошиты в единый сшив, листы последовательно пронумерованы. На обороте сшив должен быть заверен печатью (при наличии) и подписью руководителя (иного уполномоченного лица).</w:t>
      </w:r>
    </w:p>
    <w:p w14:paraId="4DC93C31" w14:textId="77777777" w:rsidR="000660C2" w:rsidRPr="00CC7998" w:rsidRDefault="000660C2" w:rsidP="000660C2">
      <w:pPr>
        <w:pStyle w:val="a3"/>
        <w:tabs>
          <w:tab w:val="left" w:pos="-3261"/>
          <w:tab w:val="left" w:pos="1134"/>
        </w:tabs>
        <w:ind w:left="0" w:firstLine="709"/>
        <w:jc w:val="both"/>
        <w:rPr>
          <w:sz w:val="24"/>
          <w:szCs w:val="24"/>
        </w:rPr>
      </w:pPr>
    </w:p>
    <w:p w14:paraId="160DE467" w14:textId="7F485A60" w:rsidR="00EA5F87" w:rsidRPr="00CC7998" w:rsidRDefault="00EA5F87" w:rsidP="00EA5F87">
      <w:pPr>
        <w:pStyle w:val="a3"/>
        <w:tabs>
          <w:tab w:val="left" w:pos="-3261"/>
          <w:tab w:val="left" w:pos="1134"/>
        </w:tabs>
        <w:ind w:left="0" w:firstLine="709"/>
        <w:jc w:val="both"/>
        <w:rPr>
          <w:sz w:val="24"/>
          <w:szCs w:val="24"/>
        </w:rPr>
      </w:pPr>
      <w:r w:rsidRPr="00CC7998">
        <w:rPr>
          <w:sz w:val="24"/>
          <w:szCs w:val="24"/>
        </w:rPr>
        <w:t xml:space="preserve">2) К Заявке, </w:t>
      </w:r>
      <w:r w:rsidRPr="00CC7998">
        <w:rPr>
          <w:rFonts w:eastAsia="Arial"/>
          <w:sz w:val="24"/>
          <w:szCs w:val="24"/>
        </w:rPr>
        <w:t>подаваемой в виде отсканированного документа (электронного образа)</w:t>
      </w:r>
      <w:r w:rsidRPr="00CC7998">
        <w:rPr>
          <w:sz w:val="24"/>
          <w:szCs w:val="24"/>
        </w:rPr>
        <w:t>, должны быть приложены следующие документы</w:t>
      </w:r>
      <w:r w:rsidR="00CC7998" w:rsidRPr="00CC7998">
        <w:rPr>
          <w:sz w:val="24"/>
          <w:szCs w:val="24"/>
        </w:rPr>
        <w:t>:</w:t>
      </w:r>
    </w:p>
    <w:p w14:paraId="18B73369" w14:textId="77777777" w:rsidR="00CC7998" w:rsidRPr="00CC7998" w:rsidRDefault="00CC7998" w:rsidP="00CC7998">
      <w:pPr>
        <w:pStyle w:val="a3"/>
        <w:ind w:left="0" w:firstLine="720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CC7998">
        <w:rPr>
          <w:rFonts w:eastAsiaTheme="minorHAnsi"/>
          <w:color w:val="000000" w:themeColor="text1"/>
          <w:sz w:val="24"/>
          <w:szCs w:val="24"/>
          <w:lang w:eastAsia="en-US"/>
        </w:rPr>
        <w:t>- отсканированная анкета Претендента на партнерство (Приложение № 3 к настоящему Порядку);</w:t>
      </w:r>
    </w:p>
    <w:p w14:paraId="473BF7E5" w14:textId="77777777" w:rsidR="00CC7998" w:rsidRPr="00CC7998" w:rsidRDefault="00CC7998" w:rsidP="00CC7998">
      <w:pPr>
        <w:pStyle w:val="a3"/>
        <w:ind w:left="0" w:firstLine="720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CC7998">
        <w:rPr>
          <w:rFonts w:eastAsiaTheme="minorHAnsi"/>
          <w:color w:val="000000" w:themeColor="text1"/>
          <w:sz w:val="24"/>
          <w:szCs w:val="24"/>
          <w:lang w:eastAsia="en-US"/>
        </w:rPr>
        <w:t>- отсканированный документ (приказ, доверенность и др.), подтверждающий полномочия лица на подписание Заявки в случае, если Заявка подписана лицом, не имеющим право действовать без доверенности;</w:t>
      </w:r>
    </w:p>
    <w:p w14:paraId="62A1E13C" w14:textId="77777777" w:rsidR="00CC7998" w:rsidRPr="00CC7998" w:rsidRDefault="00CC7998" w:rsidP="00CC7998">
      <w:pPr>
        <w:pStyle w:val="a3"/>
        <w:ind w:left="0" w:firstLine="720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CC7998">
        <w:rPr>
          <w:rFonts w:eastAsiaTheme="minorHAnsi"/>
          <w:color w:val="000000" w:themeColor="text1"/>
          <w:sz w:val="24"/>
          <w:szCs w:val="24"/>
          <w:lang w:eastAsia="en-US"/>
        </w:rPr>
        <w:t>- отсканированное обязательство об отказе в предоставлении услуг СМСП, состоящим с Претендентом на партнерство в одной группе лиц, определенной в статье 9 Федерального закон от 26.07.2006 № 135-ФЗ «О защите конкуренции» (Приложение № 4 к настоящему Порядку);</w:t>
      </w:r>
    </w:p>
    <w:p w14:paraId="774A9ADA" w14:textId="77777777" w:rsidR="00CC7998" w:rsidRPr="00CC7998" w:rsidRDefault="00CC7998" w:rsidP="00CC7998">
      <w:pPr>
        <w:pStyle w:val="a3"/>
        <w:ind w:left="0" w:firstLine="720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CC7998">
        <w:rPr>
          <w:rFonts w:eastAsiaTheme="minorHAnsi"/>
          <w:color w:val="000000" w:themeColor="text1"/>
          <w:sz w:val="24"/>
          <w:szCs w:val="24"/>
          <w:lang w:eastAsia="en-US"/>
        </w:rPr>
        <w:t>- не менее 3 (трех) отсканированных исполненных договоров оказания идентичных планируемым к приобретению или при их отсутствии однородных услуг и подписанных обеими сторонами актов к таким договорам, где Претендент на партнерство непосредственно выступает в роли исполнителя услуг. В указанных документах не допускается скрывать информацию о предмете договора, наименование контрагента, его ИНН/ОГРН, подписи и печати сторон;</w:t>
      </w:r>
    </w:p>
    <w:p w14:paraId="04239828" w14:textId="77777777" w:rsidR="00CC7998" w:rsidRPr="00CC7998" w:rsidRDefault="00CC7998" w:rsidP="00CC7998">
      <w:pPr>
        <w:pStyle w:val="a3"/>
        <w:ind w:left="0" w:firstLine="720"/>
        <w:jc w:val="both"/>
        <w:rPr>
          <w:rFonts w:eastAsiaTheme="minorHAnsi"/>
          <w:sz w:val="24"/>
          <w:szCs w:val="24"/>
          <w:lang w:eastAsia="en-US"/>
        </w:rPr>
      </w:pPr>
      <w:r w:rsidRPr="00CC7998">
        <w:rPr>
          <w:rFonts w:eastAsiaTheme="minorHAnsi"/>
          <w:color w:val="000000" w:themeColor="text1"/>
          <w:sz w:val="24"/>
          <w:szCs w:val="24"/>
          <w:lang w:eastAsia="en-US"/>
        </w:rPr>
        <w:t xml:space="preserve">- </w:t>
      </w:r>
      <w:r w:rsidRPr="00CC7998">
        <w:rPr>
          <w:rFonts w:eastAsiaTheme="minorHAnsi"/>
          <w:sz w:val="24"/>
          <w:szCs w:val="24"/>
          <w:lang w:eastAsia="en-US"/>
        </w:rPr>
        <w:t xml:space="preserve"> для Комплексной услуги №2 ЦИСС дополнительно предоставляется:</w:t>
      </w:r>
    </w:p>
    <w:p w14:paraId="6490ECDA" w14:textId="77777777" w:rsidR="00CC7998" w:rsidRPr="00CC7998" w:rsidRDefault="00CC7998" w:rsidP="00CC7998">
      <w:pPr>
        <w:pStyle w:val="a3"/>
        <w:ind w:left="0" w:firstLine="720"/>
        <w:jc w:val="both"/>
        <w:rPr>
          <w:rFonts w:eastAsiaTheme="minorHAnsi"/>
          <w:sz w:val="24"/>
          <w:szCs w:val="24"/>
          <w:lang w:eastAsia="en-US"/>
        </w:rPr>
      </w:pPr>
      <w:r w:rsidRPr="00CC7998">
        <w:rPr>
          <w:rFonts w:eastAsiaTheme="minorHAnsi"/>
          <w:sz w:val="24"/>
          <w:szCs w:val="24"/>
          <w:lang w:eastAsia="en-US"/>
        </w:rPr>
        <w:t>- перечень адресов билбордов, на которых будет осуществляться размещение баннера СМСП;</w:t>
      </w:r>
    </w:p>
    <w:p w14:paraId="26DB5B7C" w14:textId="77777777" w:rsidR="00CC7998" w:rsidRPr="00CC7998" w:rsidRDefault="00CC7998" w:rsidP="00CC7998">
      <w:pPr>
        <w:pStyle w:val="a3"/>
        <w:ind w:left="0" w:firstLine="720"/>
        <w:jc w:val="both"/>
        <w:rPr>
          <w:rFonts w:eastAsiaTheme="minorHAnsi"/>
          <w:sz w:val="24"/>
          <w:szCs w:val="24"/>
          <w:lang w:eastAsia="en-US"/>
        </w:rPr>
      </w:pPr>
      <w:r w:rsidRPr="00CC7998">
        <w:rPr>
          <w:rFonts w:eastAsiaTheme="minorHAnsi"/>
          <w:sz w:val="24"/>
          <w:szCs w:val="24"/>
          <w:lang w:eastAsia="en-US"/>
        </w:rPr>
        <w:t>- копию документа, подтверждающего право владения или пользования билбордами на срок не менее чем до «31» октября 2023 года (включительно) (договор купли-продажи, договор аренды и т.п.).</w:t>
      </w:r>
      <w:r w:rsidRPr="00CC7998">
        <w:rPr>
          <w:sz w:val="24"/>
          <w:szCs w:val="24"/>
        </w:rPr>
        <w:t xml:space="preserve"> </w:t>
      </w:r>
      <w:r w:rsidRPr="00CC7998">
        <w:rPr>
          <w:rFonts w:eastAsiaTheme="minorHAnsi"/>
          <w:sz w:val="24"/>
          <w:szCs w:val="24"/>
          <w:lang w:eastAsia="en-US"/>
        </w:rPr>
        <w:t>В копиях указанных документов не допускается скрывать информацию о предмете договора, наименование контрагента, его контактные данные, ИНН/ОГРН, подписи и печати сторон.</w:t>
      </w:r>
    </w:p>
    <w:p w14:paraId="48517A4A" w14:textId="77777777" w:rsidR="00CC7998" w:rsidRPr="00CC7998" w:rsidRDefault="00CC7998" w:rsidP="00CC7998">
      <w:pPr>
        <w:pStyle w:val="a3"/>
        <w:ind w:left="0" w:firstLine="720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CC7998">
        <w:rPr>
          <w:rFonts w:eastAsiaTheme="minorHAnsi"/>
          <w:color w:val="000000" w:themeColor="text1"/>
          <w:sz w:val="24"/>
          <w:szCs w:val="24"/>
          <w:lang w:eastAsia="en-US"/>
        </w:rPr>
        <w:t>При подаче Заявки в виде отсканированного документа электронные образы бумажных документов создаются в форматах PDF, JPEG (JPG) и архивируются в файл с расширением RAR или ZIP. Электронные образы документов создаются только с оригиналов документов, сканирование производится в режиме полной цветопередачи. Файлы и данные, которые в них содержатся, должны быть доступны для работы и не защищены от копирования и печати.</w:t>
      </w:r>
    </w:p>
    <w:p w14:paraId="78CD4557" w14:textId="77777777" w:rsidR="00CC7998" w:rsidRPr="00CC7998" w:rsidRDefault="00CC7998" w:rsidP="00CC7998">
      <w:pPr>
        <w:pStyle w:val="a3"/>
        <w:ind w:left="0" w:firstLine="720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CC7998">
        <w:rPr>
          <w:rFonts w:eastAsiaTheme="minorHAnsi"/>
          <w:color w:val="000000" w:themeColor="text1"/>
          <w:sz w:val="24"/>
          <w:szCs w:val="24"/>
          <w:lang w:eastAsia="en-US"/>
        </w:rPr>
        <w:t>Ответственность за полноту и достоверность сведений, указанных в Заявке, а также в документах, приложенных к Заявке, несет Претендент на партнерство.</w:t>
      </w:r>
    </w:p>
    <w:p w14:paraId="05D2C7FC" w14:textId="77777777" w:rsidR="00CC7998" w:rsidRPr="0064432A" w:rsidRDefault="00CC7998" w:rsidP="00EA5F87">
      <w:pPr>
        <w:pStyle w:val="a3"/>
        <w:tabs>
          <w:tab w:val="left" w:pos="-3261"/>
          <w:tab w:val="left" w:pos="1134"/>
        </w:tabs>
        <w:ind w:left="0" w:firstLine="709"/>
        <w:jc w:val="both"/>
        <w:rPr>
          <w:sz w:val="24"/>
          <w:szCs w:val="24"/>
        </w:rPr>
      </w:pPr>
    </w:p>
    <w:p w14:paraId="2DFFEDE7" w14:textId="77777777" w:rsidR="00EA5F87" w:rsidRPr="0064432A" w:rsidRDefault="00EA5F87" w:rsidP="00EA5F87">
      <w:pPr>
        <w:pStyle w:val="a3"/>
        <w:tabs>
          <w:tab w:val="left" w:pos="-3261"/>
          <w:tab w:val="left" w:pos="1134"/>
        </w:tabs>
        <w:ind w:left="0" w:firstLine="709"/>
        <w:jc w:val="both"/>
        <w:rPr>
          <w:sz w:val="24"/>
          <w:szCs w:val="24"/>
        </w:rPr>
      </w:pPr>
      <w:r w:rsidRPr="0064432A">
        <w:rPr>
          <w:sz w:val="24"/>
          <w:szCs w:val="24"/>
        </w:rPr>
        <w:t>5. Способы подачи Заявки:</w:t>
      </w:r>
    </w:p>
    <w:p w14:paraId="4E569062" w14:textId="77777777" w:rsidR="00EA5F87" w:rsidRPr="0064432A" w:rsidRDefault="00EA5F87" w:rsidP="00EA5F87">
      <w:pPr>
        <w:pStyle w:val="a3"/>
        <w:tabs>
          <w:tab w:val="left" w:pos="-3261"/>
          <w:tab w:val="left" w:pos="1134"/>
        </w:tabs>
        <w:ind w:left="0" w:firstLine="709"/>
        <w:jc w:val="both"/>
        <w:rPr>
          <w:sz w:val="24"/>
          <w:szCs w:val="24"/>
        </w:rPr>
      </w:pPr>
      <w:r w:rsidRPr="0064432A">
        <w:rPr>
          <w:sz w:val="24"/>
          <w:szCs w:val="24"/>
        </w:rPr>
        <w:t xml:space="preserve">Прием и регистрация Заявок на бумажном носителе осуществляется по адресу: 300004, г. Тула, ул. Кирова, 135 к. 1, </w:t>
      </w:r>
      <w:proofErr w:type="spellStart"/>
      <w:r w:rsidRPr="0064432A">
        <w:rPr>
          <w:sz w:val="24"/>
          <w:szCs w:val="24"/>
        </w:rPr>
        <w:t>каб</w:t>
      </w:r>
      <w:proofErr w:type="spellEnd"/>
      <w:r w:rsidRPr="0064432A">
        <w:rPr>
          <w:sz w:val="24"/>
          <w:szCs w:val="24"/>
        </w:rPr>
        <w:t xml:space="preserve">. 420. Время приема: с понедельника по четверг – с </w:t>
      </w:r>
      <w:r w:rsidRPr="0064432A">
        <w:rPr>
          <w:sz w:val="24"/>
          <w:szCs w:val="24"/>
        </w:rPr>
        <w:lastRenderedPageBreak/>
        <w:t>9.00 до 18.00 часов, пятница – с 9.00 до 17.00 часов, кроме выходных и нерабочих праздничных дней.</w:t>
      </w:r>
    </w:p>
    <w:p w14:paraId="69EDD4CB" w14:textId="77777777" w:rsidR="00EA5F87" w:rsidRPr="0064432A" w:rsidRDefault="00EA5F87" w:rsidP="00EA5F87">
      <w:pPr>
        <w:pStyle w:val="a3"/>
        <w:tabs>
          <w:tab w:val="left" w:pos="-3261"/>
          <w:tab w:val="left" w:pos="1134"/>
        </w:tabs>
        <w:ind w:left="0" w:firstLine="709"/>
        <w:jc w:val="both"/>
        <w:rPr>
          <w:sz w:val="24"/>
          <w:szCs w:val="24"/>
        </w:rPr>
      </w:pPr>
      <w:r w:rsidRPr="0064432A">
        <w:rPr>
          <w:sz w:val="24"/>
          <w:szCs w:val="24"/>
        </w:rPr>
        <w:t>Прием и регистрация Заявок в виде отсканированного документа осуществляется на электронную почту Фонда. Время приема: с понедельника по четверг – с 9.00 до 18.00 часов, пятница – с 9.00 до 17.00 часов, кроме выходных и нерабочих праздничных дней.</w:t>
      </w:r>
    </w:p>
    <w:p w14:paraId="64095DBD" w14:textId="77777777" w:rsidR="00EA5F87" w:rsidRDefault="00EA5F87" w:rsidP="00EA5F87">
      <w:pPr>
        <w:pStyle w:val="a3"/>
        <w:tabs>
          <w:tab w:val="left" w:pos="-3261"/>
          <w:tab w:val="left" w:pos="1134"/>
        </w:tabs>
        <w:ind w:left="0" w:firstLine="709"/>
        <w:jc w:val="both"/>
        <w:rPr>
          <w:sz w:val="24"/>
          <w:szCs w:val="24"/>
        </w:rPr>
      </w:pPr>
      <w:r w:rsidRPr="0064432A">
        <w:rPr>
          <w:sz w:val="24"/>
          <w:szCs w:val="24"/>
        </w:rPr>
        <w:t>6. Заявки на участие в процедуре отбора партнеров рассматриваются в срок не более 5 (пяти) рабочих дней с даты, следующей за датой окончания приема Заявок.</w:t>
      </w:r>
    </w:p>
    <w:p w14:paraId="565E0E60" w14:textId="77777777" w:rsidR="00EA5F87" w:rsidRDefault="00EA5F87" w:rsidP="00EA5F87">
      <w:pPr>
        <w:pStyle w:val="a3"/>
        <w:tabs>
          <w:tab w:val="left" w:pos="-3261"/>
          <w:tab w:val="left" w:pos="1134"/>
        </w:tabs>
        <w:ind w:left="0" w:firstLine="709"/>
        <w:jc w:val="both"/>
        <w:rPr>
          <w:sz w:val="24"/>
          <w:szCs w:val="24"/>
        </w:rPr>
      </w:pPr>
    </w:p>
    <w:p w14:paraId="50365A18" w14:textId="77777777" w:rsidR="00C067D1" w:rsidRDefault="00C067D1"/>
    <w:sectPr w:rsidR="00C06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365"/>
    <w:rsid w:val="000660C2"/>
    <w:rsid w:val="002A2365"/>
    <w:rsid w:val="005E3104"/>
    <w:rsid w:val="00953E7D"/>
    <w:rsid w:val="009E523D"/>
    <w:rsid w:val="00C067D1"/>
    <w:rsid w:val="00CC7998"/>
    <w:rsid w:val="00D47427"/>
    <w:rsid w:val="00EA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F518A"/>
  <w15:chartTrackingRefBased/>
  <w15:docId w15:val="{B5F5A3FB-5761-4028-A8FE-C24057047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5F8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екст с номером,ПАРАГРАФ,Абзац списка для документа,Абзац списка4,Абзац списка основной,Содержание. 2 уровень,Нумерованый список,Второй абзац списка,асз.Списка,Абзац списка2,Bullet List,FooterText,numbered,List Paragraph,Подпись рисунка"/>
    <w:basedOn w:val="a"/>
    <w:link w:val="a4"/>
    <w:uiPriority w:val="34"/>
    <w:qFormat/>
    <w:rsid w:val="00EA5F87"/>
    <w:pPr>
      <w:ind w:left="720"/>
      <w:contextualSpacing/>
    </w:pPr>
  </w:style>
  <w:style w:type="character" w:customStyle="1" w:styleId="a4">
    <w:name w:val="Абзац списка Знак"/>
    <w:aliases w:val="Текст с номером Знак,ПАРАГРАФ Знак,Абзац списка для документа Знак,Абзац списка4 Знак,Абзац списка основной Знак,Содержание. 2 уровень Знак,Нумерованый список Знак,Второй абзац списка Знак,асз.Списка Знак,Абзац списка2 Знак"/>
    <w:link w:val="a3"/>
    <w:uiPriority w:val="34"/>
    <w:qFormat/>
    <w:locked/>
    <w:rsid w:val="00EA5F87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1462</Words>
  <Characters>8337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Татьянина</dc:creator>
  <cp:keywords/>
  <dc:description/>
  <cp:lastModifiedBy>Альбина Татьянина</cp:lastModifiedBy>
  <cp:revision>4</cp:revision>
  <dcterms:created xsi:type="dcterms:W3CDTF">2023-06-20T15:07:00Z</dcterms:created>
  <dcterms:modified xsi:type="dcterms:W3CDTF">2023-06-20T15:18:00Z</dcterms:modified>
</cp:coreProperties>
</file>